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3B6172" w:rsidRDefault="003B6172" w:rsidP="003B6172">
      <w:r>
        <w:t>Project name</w:t>
      </w:r>
      <w:r>
        <w:rPr>
          <w:lang w:val="en-AU"/>
        </w:rPr>
        <w:t>:</w:t>
      </w:r>
      <w:r>
        <w:t xml:space="preserve"> </w:t>
      </w:r>
      <w:proofErr w:type="spellStart"/>
      <w:r>
        <w:t>Spectronus</w:t>
      </w:r>
      <w:proofErr w:type="spellEnd"/>
    </w:p>
    <w:p w:rsidR="003B6172" w:rsidRDefault="003B6172" w:rsidP="003B6172">
      <w:r>
        <w:t xml:space="preserve">Name and contact of the researcher: </w:t>
      </w:r>
      <w:proofErr w:type="gramStart"/>
      <w:r>
        <w:t xml:space="preserve">Marie  </w:t>
      </w:r>
      <w:proofErr w:type="spellStart"/>
      <w:r>
        <w:t>Laborde</w:t>
      </w:r>
      <w:proofErr w:type="spellEnd"/>
      <w:proofErr w:type="gramEnd"/>
      <w:r>
        <w:t xml:space="preserve">, </w:t>
      </w:r>
      <w:proofErr w:type="spellStart"/>
      <w:r>
        <w:t>hoehtalstrasse</w:t>
      </w:r>
      <w:proofErr w:type="spellEnd"/>
      <w:r>
        <w:t xml:space="preserve"> 15a, </w:t>
      </w:r>
      <w:proofErr w:type="spellStart"/>
      <w:r>
        <w:t>ennetbaden</w:t>
      </w:r>
      <w:proofErr w:type="spellEnd"/>
      <w:r>
        <w:t xml:space="preserve">, Switzerland. </w:t>
      </w:r>
      <w:proofErr w:type="gramStart"/>
      <w:r>
        <w:t xml:space="preserve">Employed by </w:t>
      </w:r>
      <w:proofErr w:type="spellStart"/>
      <w:r>
        <w:t>AerosolconsultingML</w:t>
      </w:r>
      <w:proofErr w:type="spellEnd"/>
      <w:r>
        <w:t xml:space="preserve">, </w:t>
      </w:r>
      <w:proofErr w:type="spellStart"/>
      <w:r>
        <w:t>ennetbaden</w:t>
      </w:r>
      <w:proofErr w:type="spellEnd"/>
      <w:r>
        <w:t xml:space="preserve"> 5408, Switzerland.</w:t>
      </w:r>
      <w:proofErr w:type="gramEnd"/>
      <w:r>
        <w:t xml:space="preserve"> Email: </w:t>
      </w:r>
      <w:hyperlink r:id="rId8" w:history="1">
        <w:r w:rsidRPr="008405DA">
          <w:rPr>
            <w:rStyle w:val="Hyperlink"/>
          </w:rPr>
          <w:t>marie.laborde@aerosolconsulting.com</w:t>
        </w:r>
      </w:hyperlink>
      <w:r>
        <w:t>. Phone: 0041767559648</w:t>
      </w:r>
    </w:p>
    <w:p w:rsidR="003B6172" w:rsidRDefault="003B6172" w:rsidP="003B6172">
      <w:r>
        <w:t xml:space="preserve">Duration of the stay: I would like to stay 2 weeks on site, from the </w:t>
      </w:r>
      <w:r w:rsidR="001C1BB9">
        <w:t>2</w:t>
      </w:r>
      <w:r>
        <w:rPr>
          <w:vertAlign w:val="superscript"/>
        </w:rPr>
        <w:t>r</w:t>
      </w:r>
      <w:r w:rsidRPr="003B6172">
        <w:rPr>
          <w:vertAlign w:val="superscript"/>
        </w:rPr>
        <w:t>d</w:t>
      </w:r>
      <w:r>
        <w:t xml:space="preserve"> June until the </w:t>
      </w:r>
      <w:r w:rsidR="001C1BB9">
        <w:t>16</w:t>
      </w:r>
      <w:r w:rsidRPr="003B6172">
        <w:rPr>
          <w:vertAlign w:val="superscript"/>
        </w:rPr>
        <w:t>th</w:t>
      </w:r>
      <w:r>
        <w:t xml:space="preserve"> </w:t>
      </w:r>
      <w:proofErr w:type="spellStart"/>
      <w:proofErr w:type="gramStart"/>
      <w:r>
        <w:t>june</w:t>
      </w:r>
      <w:proofErr w:type="spellEnd"/>
      <w:proofErr w:type="gramEnd"/>
      <w:r>
        <w:t xml:space="preserve">, so </w:t>
      </w:r>
      <w:r w:rsidR="001C1BB9">
        <w:t>15</w:t>
      </w:r>
      <w:r>
        <w:t xml:space="preserve"> RWD. </w:t>
      </w:r>
    </w:p>
    <w:p w:rsidR="003B6172" w:rsidRPr="003B6172" w:rsidRDefault="003B6172" w:rsidP="003B6172">
      <w:pPr>
        <w:ind w:left="720" w:hanging="720"/>
      </w:pPr>
      <w:r>
        <w:t>The infrastructure</w:t>
      </w:r>
      <w:r>
        <w:rPr>
          <w:i/>
        </w:rPr>
        <w:t xml:space="preserve"> </w:t>
      </w:r>
      <w:r>
        <w:t xml:space="preserve">I would like to get access to </w:t>
      </w:r>
      <w:proofErr w:type="gramStart"/>
      <w:r>
        <w:t>is</w:t>
      </w:r>
      <w:proofErr w:type="gramEnd"/>
      <w:r>
        <w:t xml:space="preserve"> the </w:t>
      </w:r>
      <w:proofErr w:type="spellStart"/>
      <w:r>
        <w:t>easter</w:t>
      </w:r>
      <w:proofErr w:type="spellEnd"/>
      <w:r>
        <w:t xml:space="preserve"> bush, UK site. </w:t>
      </w:r>
    </w:p>
    <w:p w:rsidR="00861515" w:rsidRDefault="00861515" w:rsidP="00F20757">
      <w:pPr>
        <w:rPr>
          <w:b/>
        </w:rPr>
      </w:pPr>
    </w:p>
    <w:p w:rsidR="00861515" w:rsidRDefault="00861515" w:rsidP="00F20757">
      <w:pPr>
        <w:pStyle w:val="ListParagraph"/>
        <w:numPr>
          <w:ilvl w:val="0"/>
          <w:numId w:val="1"/>
        </w:numPr>
        <w:ind w:left="360"/>
        <w:rPr>
          <w:b/>
        </w:rPr>
      </w:pPr>
      <w:r>
        <w:rPr>
          <w:b/>
        </w:rPr>
        <w:t>Background</w:t>
      </w:r>
    </w:p>
    <w:p w:rsidR="00CF1EF9" w:rsidRDefault="00980455" w:rsidP="003B6172">
      <w:r>
        <w:t xml:space="preserve">Soils are known to be the most important source of non-CO2 greenhouse nitrous oxide (N2O). The </w:t>
      </w:r>
      <w:r w:rsidR="00DF51D9">
        <w:t xml:space="preserve">amount of </w:t>
      </w:r>
      <w:r>
        <w:t xml:space="preserve">N2O </w:t>
      </w:r>
      <w:r w:rsidR="00DF51D9">
        <w:t xml:space="preserve">produced by the soil </w:t>
      </w:r>
      <w:r>
        <w:t>vari</w:t>
      </w:r>
      <w:r w:rsidR="00DF51D9">
        <w:t>es greatly</w:t>
      </w:r>
      <w:r>
        <w:t xml:space="preserve"> </w:t>
      </w:r>
      <w:r w:rsidR="00686164">
        <w:t xml:space="preserve">in space and time </w:t>
      </w:r>
      <w:r w:rsidR="00DF51D9">
        <w:t>due to the</w:t>
      </w:r>
      <w:r w:rsidR="00516BDD">
        <w:t xml:space="preserve"> microbiological</w:t>
      </w:r>
      <w:r w:rsidR="00DF51D9">
        <w:t xml:space="preserve"> nature of the production process. </w:t>
      </w:r>
      <w:r w:rsidR="008D6FD8">
        <w:t xml:space="preserve">Indeed </w:t>
      </w:r>
      <w:r w:rsidR="00DF51D9">
        <w:t>N2O emissions are tightly linked to e.g</w:t>
      </w:r>
      <w:r>
        <w:t xml:space="preserve">. </w:t>
      </w:r>
      <w:r w:rsidR="00DF51D9">
        <w:t xml:space="preserve">the soil </w:t>
      </w:r>
      <w:r w:rsidR="00CC1D98">
        <w:t>temperature, wetness, pH, to</w:t>
      </w:r>
      <w:r w:rsidR="00DF51D9">
        <w:t xml:space="preserve"> the amount of</w:t>
      </w:r>
      <w:r w:rsidR="00686164">
        <w:t xml:space="preserve"> rainfall and </w:t>
      </w:r>
      <w:r w:rsidR="00CC1D98">
        <w:t>to</w:t>
      </w:r>
      <w:r w:rsidR="00686164">
        <w:t xml:space="preserve"> the amount </w:t>
      </w:r>
      <w:r w:rsidR="00CC1D98">
        <w:t xml:space="preserve">of </w:t>
      </w:r>
      <w:r w:rsidR="00686164">
        <w:t>nitrogen fertilization.</w:t>
      </w:r>
      <w:r w:rsidR="008D6FD8">
        <w:t xml:space="preserve"> N2O inventories are currently therefore highly uncertain and </w:t>
      </w:r>
      <w:r w:rsidR="00CF1EF9">
        <w:t>with it the impact of N2O of the earth climate</w:t>
      </w:r>
      <w:r w:rsidR="00EA29AC">
        <w:t xml:space="preserve"> (IPCC</w:t>
      </w:r>
      <w:proofErr w:type="gramStart"/>
      <w:r w:rsidR="00EA29AC">
        <w:t>,2006</w:t>
      </w:r>
      <w:proofErr w:type="gramEnd"/>
      <w:r w:rsidR="00EA29AC">
        <w:t>)</w:t>
      </w:r>
      <w:r w:rsidR="00CF1EF9">
        <w:t>.</w:t>
      </w:r>
    </w:p>
    <w:p w:rsidR="00980455" w:rsidRDefault="008821A1" w:rsidP="003B6172">
      <w:r>
        <w:t xml:space="preserve">In order to decrease this uncertainty, it </w:t>
      </w:r>
      <w:r w:rsidR="008D6FD8">
        <w:t>is therefore important to measure</w:t>
      </w:r>
      <w:r>
        <w:t xml:space="preserve"> accurately</w:t>
      </w:r>
      <w:r w:rsidR="008D6FD8">
        <w:t xml:space="preserve"> N2O fluxes emitted by different type of soils and at different </w:t>
      </w:r>
      <w:r>
        <w:t>time of the year.</w:t>
      </w:r>
    </w:p>
    <w:p w:rsidR="008821A1" w:rsidRDefault="008821A1" w:rsidP="003B6172"/>
    <w:p w:rsidR="006517B3" w:rsidRDefault="00E91440" w:rsidP="003B6172">
      <w:r>
        <w:t xml:space="preserve">Several methods are </w:t>
      </w:r>
      <w:r w:rsidR="00847C45">
        <w:t xml:space="preserve">currently </w:t>
      </w:r>
      <w:r>
        <w:t xml:space="preserve">available to measure the N2O fluxes release by </w:t>
      </w:r>
      <w:r w:rsidR="00847C45">
        <w:t xml:space="preserve">soils. </w:t>
      </w:r>
      <w:r w:rsidR="006517B3">
        <w:t xml:space="preserve">N2O fluxes measured </w:t>
      </w:r>
      <w:r w:rsidR="00CF7137">
        <w:t xml:space="preserve">with chambers </w:t>
      </w:r>
      <w:r w:rsidR="00CC1D98">
        <w:t>are</w:t>
      </w:r>
      <w:r w:rsidR="00CF7137">
        <w:t xml:space="preserve"> </w:t>
      </w:r>
      <w:r w:rsidR="006517B3">
        <w:t xml:space="preserve">rather </w:t>
      </w:r>
      <w:r w:rsidR="00CF7137">
        <w:t xml:space="preserve">inexpensive but remain </w:t>
      </w:r>
      <w:r w:rsidR="006517B3">
        <w:t>uncertain due to the limited amount of measurement points both in time and in space</w:t>
      </w:r>
      <w:r w:rsidR="00C34DF8">
        <w:t xml:space="preserve"> (Jones, 2011)</w:t>
      </w:r>
      <w:r w:rsidR="006517B3">
        <w:t>.</w:t>
      </w:r>
    </w:p>
    <w:p w:rsidR="00CF7137" w:rsidRDefault="00CC1D98" w:rsidP="003B6172">
      <w:r>
        <w:t>Fluxes meas</w:t>
      </w:r>
      <w:r w:rsidR="008D6FD8">
        <w:t>ured with</w:t>
      </w:r>
      <w:r w:rsidR="00BE4563">
        <w:t xml:space="preserve"> </w:t>
      </w:r>
      <w:r w:rsidR="008D6FD8" w:rsidRPr="008D6FD8">
        <w:t xml:space="preserve">micrometeorological </w:t>
      </w:r>
      <w:r w:rsidR="008D6FD8">
        <w:t xml:space="preserve">methods </w:t>
      </w:r>
      <w:r w:rsidR="00CF7137">
        <w:t>are more expensive but allow a more in depth understanding of the processes by measuring</w:t>
      </w:r>
      <w:r w:rsidR="00A77BFA">
        <w:t xml:space="preserve"> in a</w:t>
      </w:r>
      <w:r w:rsidR="00CF7137">
        <w:t xml:space="preserve"> medium to long term and retrieving seasonal variation and time serie</w:t>
      </w:r>
      <w:r w:rsidR="00A77BFA">
        <w:t>s of N2O concentration</w:t>
      </w:r>
      <w:r w:rsidR="00C34DF8">
        <w:t xml:space="preserve"> (Jones, 2011)</w:t>
      </w:r>
      <w:r w:rsidR="00CF7137">
        <w:t xml:space="preserve">. </w:t>
      </w:r>
    </w:p>
    <w:p w:rsidR="002B111B" w:rsidRDefault="008821A1" w:rsidP="002B111B">
      <w:r>
        <w:t>In addition, both methods use different type of instruments, increasing the need for the diff</w:t>
      </w:r>
      <w:r w:rsidR="002B111B">
        <w:t xml:space="preserve">erent system to be standardized and compared. </w:t>
      </w:r>
    </w:p>
    <w:p w:rsidR="00861830" w:rsidRDefault="00E91440" w:rsidP="002B111B">
      <w:bookmarkStart w:id="0" w:name="_GoBack"/>
      <w:bookmarkEnd w:id="0"/>
      <w:r>
        <w:t xml:space="preserve">In order to do so an </w:t>
      </w:r>
      <w:proofErr w:type="spellStart"/>
      <w:r>
        <w:t>intercomparison</w:t>
      </w:r>
      <w:proofErr w:type="spellEnd"/>
      <w:r>
        <w:t xml:space="preserve"> of numerous available measurement methods is needed. </w:t>
      </w:r>
      <w:r w:rsidR="00861830">
        <w:t xml:space="preserve">This </w:t>
      </w:r>
      <w:proofErr w:type="spellStart"/>
      <w:r w:rsidR="00861830">
        <w:t>intercomparison</w:t>
      </w:r>
      <w:proofErr w:type="spellEnd"/>
      <w:r w:rsidR="00861830">
        <w:t xml:space="preserve"> would preferably in</w:t>
      </w:r>
      <w:r w:rsidR="00BC199F">
        <w:t xml:space="preserve">volve all the available </w:t>
      </w:r>
      <w:r w:rsidR="00980455">
        <w:t>methods measuring</w:t>
      </w:r>
      <w:r w:rsidR="00BC199F">
        <w:t xml:space="preserve"> side by side. </w:t>
      </w:r>
    </w:p>
    <w:p w:rsidR="00980455" w:rsidRDefault="00980455" w:rsidP="00980455"/>
    <w:p w:rsidR="00893C61" w:rsidRDefault="00893C61" w:rsidP="00980455">
      <w:r>
        <w:t>Some p</w:t>
      </w:r>
      <w:r w:rsidR="00980455">
        <w:t xml:space="preserve">revious </w:t>
      </w:r>
      <w:r w:rsidR="0047651A">
        <w:t>publications have</w:t>
      </w:r>
      <w:r w:rsidR="00980455">
        <w:t xml:space="preserve"> addressed that issue </w:t>
      </w:r>
      <w:r>
        <w:t xml:space="preserve">by comparing a few </w:t>
      </w:r>
      <w:r w:rsidR="00C34DF8">
        <w:t xml:space="preserve">methods (Jones, 2011) </w:t>
      </w:r>
      <w:r>
        <w:t>but the con</w:t>
      </w:r>
      <w:r w:rsidR="00941610">
        <w:t>stant improvement in the technique</w:t>
      </w:r>
      <w:r>
        <w:t xml:space="preserve"> and the release of new product calls for a new </w:t>
      </w:r>
      <w:proofErr w:type="spellStart"/>
      <w:r>
        <w:t>intercomparison</w:t>
      </w:r>
      <w:proofErr w:type="spellEnd"/>
      <w:r>
        <w:t>.</w:t>
      </w:r>
    </w:p>
    <w:p w:rsidR="00861515" w:rsidRDefault="00861515" w:rsidP="00F20757">
      <w:pPr>
        <w:pStyle w:val="ListParagraph"/>
        <w:ind w:left="360"/>
        <w:rPr>
          <w:b/>
        </w:rPr>
      </w:pPr>
    </w:p>
    <w:p w:rsidR="00C34DF8" w:rsidRDefault="00C34DF8" w:rsidP="00F20757">
      <w:pPr>
        <w:pStyle w:val="ListParagraph"/>
        <w:ind w:left="360"/>
        <w:rPr>
          <w:b/>
        </w:rPr>
      </w:pPr>
    </w:p>
    <w:p w:rsidR="00C34DF8" w:rsidRPr="00861515" w:rsidRDefault="00C34DF8" w:rsidP="00F20757">
      <w:pPr>
        <w:pStyle w:val="ListParagraph"/>
        <w:ind w:left="360"/>
        <w:rPr>
          <w:b/>
        </w:rPr>
      </w:pPr>
    </w:p>
    <w:p w:rsidR="00861515" w:rsidRDefault="00861515" w:rsidP="00F20757">
      <w:pPr>
        <w:pStyle w:val="ListParagraph"/>
        <w:numPr>
          <w:ilvl w:val="0"/>
          <w:numId w:val="1"/>
        </w:numPr>
        <w:ind w:left="360"/>
        <w:rPr>
          <w:b/>
        </w:rPr>
      </w:pPr>
      <w:r>
        <w:rPr>
          <w:b/>
        </w:rPr>
        <w:lastRenderedPageBreak/>
        <w:t>Objectives</w:t>
      </w:r>
    </w:p>
    <w:p w:rsidR="005515B2" w:rsidRDefault="005515B2" w:rsidP="005515B2">
      <w:r>
        <w:t xml:space="preserve">Fertilizer N applications to grassland are often required to achieve optimum </w:t>
      </w:r>
      <w:proofErr w:type="gramStart"/>
      <w:r>
        <w:t>yields,</w:t>
      </w:r>
      <w:proofErr w:type="gramEnd"/>
      <w:r>
        <w:t xml:space="preserve"> however a byproduct of this increasingly widespread agronomic practice is atmospheric pollution in the form of nitrous oxide (N2O) emissions. This trace gas is implicated in the destruction of stratospheric ozone and acts as a greenhouse gases, making essential the collection of inventories and the development of a refined understanding of the processes that regulate N2O emissions. This is especially important for ecosystems where N2O emissions are greatly amplified on a per unit area basis by routine additions of fertilizer N, such as the grassland system.</w:t>
      </w:r>
    </w:p>
    <w:p w:rsidR="005515B2" w:rsidRDefault="005515B2" w:rsidP="005515B2"/>
    <w:p w:rsidR="005515B2" w:rsidRDefault="005515B2" w:rsidP="005515B2">
      <w:r>
        <w:t xml:space="preserve">The </w:t>
      </w:r>
      <w:proofErr w:type="spellStart"/>
      <w:r>
        <w:t>objectif</w:t>
      </w:r>
      <w:proofErr w:type="spellEnd"/>
      <w:r>
        <w:t xml:space="preserve"> of this project is to compare the measurement of N2O fluxes obtained with the combination of a REA and the </w:t>
      </w:r>
      <w:proofErr w:type="spellStart"/>
      <w:r>
        <w:t>spectronus</w:t>
      </w:r>
      <w:proofErr w:type="spellEnd"/>
      <w:r>
        <w:t xml:space="preserve"> FTIR trace gas </w:t>
      </w:r>
      <w:proofErr w:type="spellStart"/>
      <w:r>
        <w:t>analyser</w:t>
      </w:r>
      <w:proofErr w:type="spellEnd"/>
      <w:r>
        <w:t xml:space="preserve"> to other common methods used around the INGOS network, in a realistic way, i.e. while measuring N2O fluxes from a </w:t>
      </w:r>
      <w:r w:rsidR="00C34DF8">
        <w:t xml:space="preserve">fertilized </w:t>
      </w:r>
      <w:r>
        <w:t xml:space="preserve">grassland field. </w:t>
      </w:r>
    </w:p>
    <w:p w:rsidR="005515B2" w:rsidRDefault="005515B2" w:rsidP="005515B2">
      <w:r>
        <w:t xml:space="preserve">This </w:t>
      </w:r>
      <w:proofErr w:type="spellStart"/>
      <w:r>
        <w:t>intercomparison</w:t>
      </w:r>
      <w:proofErr w:type="spellEnd"/>
      <w:r>
        <w:t xml:space="preserve"> will allow the community to assess the accuracy, the repeatability, </w:t>
      </w:r>
      <w:proofErr w:type="gramStart"/>
      <w:r>
        <w:t>the</w:t>
      </w:r>
      <w:proofErr w:type="gramEnd"/>
      <w:r>
        <w:t xml:space="preserve"> robustness but also the limitations of the </w:t>
      </w:r>
      <w:proofErr w:type="spellStart"/>
      <w:r>
        <w:t>Spectronus</w:t>
      </w:r>
      <w:proofErr w:type="spellEnd"/>
      <w:r>
        <w:t xml:space="preserve"> trace gas </w:t>
      </w:r>
      <w:proofErr w:type="spellStart"/>
      <w:r>
        <w:t>analyser</w:t>
      </w:r>
      <w:proofErr w:type="spellEnd"/>
      <w:r>
        <w:t xml:space="preserve">. The result of this </w:t>
      </w:r>
      <w:proofErr w:type="spellStart"/>
      <w:r>
        <w:t>intercomparison</w:t>
      </w:r>
      <w:proofErr w:type="spellEnd"/>
      <w:r>
        <w:t xml:space="preserve"> is also therefore important for the community in order to compare results from different publications, using different techni</w:t>
      </w:r>
      <w:r w:rsidR="00941610">
        <w:t>ques</w:t>
      </w:r>
      <w:r>
        <w:t>.</w:t>
      </w:r>
    </w:p>
    <w:p w:rsidR="005515B2" w:rsidRDefault="005515B2" w:rsidP="005515B2"/>
    <w:p w:rsidR="005515B2" w:rsidRDefault="005515B2" w:rsidP="005515B2">
      <w:r>
        <w:t xml:space="preserve">This </w:t>
      </w:r>
      <w:proofErr w:type="spellStart"/>
      <w:r>
        <w:t>intercomparison</w:t>
      </w:r>
      <w:proofErr w:type="spellEnd"/>
      <w:r>
        <w:t xml:space="preserve"> should also help the INGOS community in achieving one of its goals: optimizing and standardizing the measurement of N2O.</w:t>
      </w:r>
    </w:p>
    <w:p w:rsidR="005515B2" w:rsidRDefault="005515B2" w:rsidP="005515B2"/>
    <w:p w:rsidR="00861515" w:rsidRDefault="005515B2" w:rsidP="00566CB9">
      <w:r>
        <w:t>This project would require the access to the Easter Bush (TNA1 supersite, Edinburgh, UK)</w:t>
      </w:r>
      <w:r w:rsidR="00566CB9">
        <w:t xml:space="preserve"> site during the N2O </w:t>
      </w:r>
      <w:proofErr w:type="spellStart"/>
      <w:r w:rsidR="00566CB9">
        <w:t>intercomparison</w:t>
      </w:r>
      <w:proofErr w:type="spellEnd"/>
      <w:r w:rsidR="00566CB9">
        <w:t xml:space="preserve"> campaign planned from the 3</w:t>
      </w:r>
      <w:r w:rsidR="00566CB9" w:rsidRPr="00566CB9">
        <w:rPr>
          <w:vertAlign w:val="superscript"/>
        </w:rPr>
        <w:t>rd</w:t>
      </w:r>
      <w:r w:rsidR="00566CB9">
        <w:t xml:space="preserve"> June-28</w:t>
      </w:r>
      <w:r w:rsidR="00566CB9" w:rsidRPr="00566CB9">
        <w:rPr>
          <w:vertAlign w:val="superscript"/>
        </w:rPr>
        <w:t>th</w:t>
      </w:r>
      <w:r w:rsidR="00566CB9">
        <w:t xml:space="preserve"> June. Indeed, this site and this campaign would allow the </w:t>
      </w:r>
      <w:proofErr w:type="spellStart"/>
      <w:r w:rsidR="00566CB9">
        <w:t>Spectronus</w:t>
      </w:r>
      <w:proofErr w:type="spellEnd"/>
      <w:r w:rsidR="00566CB9">
        <w:t xml:space="preserve"> trace gas </w:t>
      </w:r>
      <w:proofErr w:type="spellStart"/>
      <w:r w:rsidR="00566CB9">
        <w:t>analyser</w:t>
      </w:r>
      <w:proofErr w:type="spellEnd"/>
      <w:r w:rsidR="00566CB9">
        <w:t xml:space="preserve"> to be compared to all the other instruments under realistic conditions, i.e. while measuring background N2O fluxes and N2O fluxes after fertilization of the field.</w:t>
      </w:r>
    </w:p>
    <w:p w:rsidR="00566CB9" w:rsidRPr="00F20757" w:rsidRDefault="00566CB9" w:rsidP="005515B2"/>
    <w:p w:rsidR="00861515" w:rsidRPr="00861515" w:rsidRDefault="00861515" w:rsidP="00F20757">
      <w:pPr>
        <w:pStyle w:val="ListParagraph"/>
        <w:ind w:left="360"/>
        <w:rPr>
          <w:b/>
        </w:rPr>
      </w:pPr>
    </w:p>
    <w:p w:rsidR="00861515" w:rsidRDefault="00861515" w:rsidP="005515B2">
      <w:pPr>
        <w:pStyle w:val="ListParagraph"/>
        <w:numPr>
          <w:ilvl w:val="0"/>
          <w:numId w:val="2"/>
        </w:numPr>
        <w:ind w:left="360"/>
        <w:rPr>
          <w:b/>
        </w:rPr>
      </w:pPr>
      <w:r>
        <w:rPr>
          <w:b/>
        </w:rPr>
        <w:t>Methods and materials (</w:t>
      </w:r>
      <w:r w:rsidR="00F20757">
        <w:rPr>
          <w:b/>
        </w:rPr>
        <w:t xml:space="preserve">legal and </w:t>
      </w:r>
      <w:r>
        <w:rPr>
          <w:b/>
        </w:rPr>
        <w:t>ethical issues)</w:t>
      </w:r>
    </w:p>
    <w:p w:rsidR="000D1BA8" w:rsidRDefault="00E63782" w:rsidP="009C0F71">
      <w:r>
        <w:t xml:space="preserve">The </w:t>
      </w:r>
      <w:proofErr w:type="spellStart"/>
      <w:r>
        <w:t>intercomparison</w:t>
      </w:r>
      <w:proofErr w:type="spellEnd"/>
      <w:r>
        <w:t xml:space="preserve"> </w:t>
      </w:r>
      <w:proofErr w:type="gramStart"/>
      <w:r>
        <w:t xml:space="preserve">of </w:t>
      </w:r>
      <w:r w:rsidR="00B74680">
        <w:t xml:space="preserve"> </w:t>
      </w:r>
      <w:r w:rsidR="000D1BA8">
        <w:t>the</w:t>
      </w:r>
      <w:proofErr w:type="gramEnd"/>
      <w:r w:rsidR="000D1BA8">
        <w:t xml:space="preserve"> </w:t>
      </w:r>
      <w:proofErr w:type="spellStart"/>
      <w:r w:rsidR="00B74680">
        <w:t>Spectronus</w:t>
      </w:r>
      <w:proofErr w:type="spellEnd"/>
      <w:r w:rsidR="00B74680">
        <w:t xml:space="preserve"> trace gas </w:t>
      </w:r>
      <w:proofErr w:type="spellStart"/>
      <w:r w:rsidR="00B74680">
        <w:t>analyser</w:t>
      </w:r>
      <w:proofErr w:type="spellEnd"/>
      <w:r w:rsidR="00B74680">
        <w:t xml:space="preserve">  to </w:t>
      </w:r>
      <w:r>
        <w:t xml:space="preserve">the </w:t>
      </w:r>
      <w:r w:rsidR="00B74680">
        <w:t xml:space="preserve">other methods will be performed </w:t>
      </w:r>
      <w:r w:rsidR="000D1BA8">
        <w:t>by running the instruments side by side. The background N2O fluxes will first be measured for one week in order to compare the instruments at lower level of N2O followed by 3 weeks of N2O fluxes measurement of the fertilized field.</w:t>
      </w:r>
    </w:p>
    <w:p w:rsidR="000D1BA8" w:rsidRDefault="000D1BA8" w:rsidP="009C0F71">
      <w:r>
        <w:t>The calculated fluxes from all the different methods will then be compared and the different instrument capabilities assessed.</w:t>
      </w:r>
    </w:p>
    <w:p w:rsidR="000D1BA8" w:rsidRDefault="000D1BA8" w:rsidP="009C0F71"/>
    <w:p w:rsidR="000D1BA8" w:rsidRDefault="000D1BA8" w:rsidP="009C0F71">
      <w:r>
        <w:t xml:space="preserve">The </w:t>
      </w:r>
      <w:proofErr w:type="spellStart"/>
      <w:r>
        <w:t>spectronus</w:t>
      </w:r>
      <w:proofErr w:type="spellEnd"/>
      <w:r>
        <w:t xml:space="preserve"> trace gas </w:t>
      </w:r>
      <w:proofErr w:type="spellStart"/>
      <w:r>
        <w:t>analyser</w:t>
      </w:r>
      <w:proofErr w:type="spellEnd"/>
      <w:r>
        <w:t xml:space="preserve"> will be lent by </w:t>
      </w:r>
      <w:proofErr w:type="spellStart"/>
      <w:r>
        <w:t>AerosolConsultingML</w:t>
      </w:r>
      <w:proofErr w:type="spellEnd"/>
      <w:r>
        <w:t xml:space="preserve"> GmbH and combined </w:t>
      </w:r>
      <w:r w:rsidRPr="009C0F71">
        <w:t xml:space="preserve">with a REA system from </w:t>
      </w:r>
      <w:r w:rsidR="009C0F71" w:rsidRPr="009C0F71">
        <w:t xml:space="preserve">the </w:t>
      </w:r>
      <w:r w:rsidRPr="009C0F71">
        <w:t>ECN-Energy Research Center of the Netherlands</w:t>
      </w:r>
      <w:r w:rsidR="009C0F71" w:rsidRPr="009C0F71">
        <w:t xml:space="preserve"> </w:t>
      </w:r>
      <w:r w:rsidRPr="009C0F71">
        <w:t xml:space="preserve"> (</w:t>
      </w:r>
      <w:r w:rsidR="009C0F71" w:rsidRPr="009C0F71">
        <w:t>Biomass, Coal and Environmental  Research</w:t>
      </w:r>
      <w:r w:rsidR="009C0F71">
        <w:t>, ECN</w:t>
      </w:r>
      <w:r w:rsidRPr="009C0F71">
        <w:t>)</w:t>
      </w:r>
      <w:r w:rsidR="009C0F71" w:rsidRPr="009C0F71">
        <w:t xml:space="preserve"> and a sampling box from the University of Bremen (Institute of Environmental Physics, Univer</w:t>
      </w:r>
      <w:r w:rsidR="009C0F71">
        <w:t>sity of Bremen, Bremen, Germany</w:t>
      </w:r>
      <w:r w:rsidR="009C0F71" w:rsidRPr="009C0F71">
        <w:t>)</w:t>
      </w:r>
      <w:r w:rsidR="008750FA">
        <w:t xml:space="preserve"> in order to achieve N2O fluxes measurement.</w:t>
      </w:r>
    </w:p>
    <w:p w:rsidR="00EB0106" w:rsidRDefault="00EB0106" w:rsidP="009C0F71">
      <w:r>
        <w:t xml:space="preserve">Bags will be filled up (using the REA system) according to the direction of the wind. While pair of bags (one for the up wind and one for the </w:t>
      </w:r>
      <w:proofErr w:type="spellStart"/>
      <w:r>
        <w:t>down wind</w:t>
      </w:r>
      <w:proofErr w:type="spellEnd"/>
      <w:r>
        <w:t xml:space="preserve">) </w:t>
      </w:r>
      <w:proofErr w:type="gramStart"/>
      <w:r>
        <w:t>are</w:t>
      </w:r>
      <w:proofErr w:type="gramEnd"/>
      <w:r>
        <w:t xml:space="preserve"> filled up, another pair of </w:t>
      </w:r>
      <w:r>
        <w:lastRenderedPageBreak/>
        <w:t xml:space="preserve">bags will be </w:t>
      </w:r>
      <w:proofErr w:type="spellStart"/>
      <w:r>
        <w:t>analysed</w:t>
      </w:r>
      <w:proofErr w:type="spellEnd"/>
      <w:r>
        <w:t xml:space="preserve"> using the </w:t>
      </w:r>
      <w:proofErr w:type="spellStart"/>
      <w:r>
        <w:t>Spectronus</w:t>
      </w:r>
      <w:proofErr w:type="spellEnd"/>
      <w:r>
        <w:t xml:space="preserve"> trace gas </w:t>
      </w:r>
      <w:proofErr w:type="spellStart"/>
      <w:r>
        <w:t>analyser</w:t>
      </w:r>
      <w:proofErr w:type="spellEnd"/>
      <w:r>
        <w:t xml:space="preserve">. The switch between bags will be insured by the sampling box designed by the </w:t>
      </w:r>
      <w:proofErr w:type="gramStart"/>
      <w:r>
        <w:t>university</w:t>
      </w:r>
      <w:proofErr w:type="gramEnd"/>
      <w:r>
        <w:t xml:space="preserve"> of Bremen.</w:t>
      </w:r>
    </w:p>
    <w:p w:rsidR="00EB0106" w:rsidRDefault="00EB0106" w:rsidP="009C0F71"/>
    <w:p w:rsidR="00894F60" w:rsidRDefault="00EB0106" w:rsidP="00894F60">
      <w:pPr>
        <w:keepNext/>
        <w:jc w:val="both"/>
      </w:pPr>
      <w:r>
        <w:t>The following setup will be used in order to achieve this measurement:</w:t>
      </w:r>
    </w:p>
    <w:p w:rsidR="00894F60" w:rsidRDefault="00894F60" w:rsidP="00894F60">
      <w:pPr>
        <w:keepNext/>
        <w:jc w:val="both"/>
        <w:rPr>
          <w:lang w:val="en-AU"/>
        </w:rPr>
      </w:pPr>
      <w:r>
        <w:rPr>
          <w:noProof/>
          <w:lang w:val="en-AU" w:eastAsia="en-AU"/>
        </w:rPr>
        <w:drawing>
          <wp:inline distT="0" distB="0" distL="0" distR="0">
            <wp:extent cx="4886325" cy="4980852"/>
            <wp:effectExtent l="0" t="0" r="0" b="0"/>
            <wp:docPr id="4" name="Picture 4" descr="C:\Users\mlaborde\Documents\Ecotech\Conferenc_Campaign\2013_INGOS_Edhinburg\TNA\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aborde\Documents\Ecotech\Conferenc_Campaign\2013_INGOS_Edhinburg\TNA\Setu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4980852"/>
                    </a:xfrm>
                    <a:prstGeom prst="rect">
                      <a:avLst/>
                    </a:prstGeom>
                    <a:noFill/>
                    <a:ln>
                      <a:noFill/>
                    </a:ln>
                  </pic:spPr>
                </pic:pic>
              </a:graphicData>
            </a:graphic>
          </wp:inline>
        </w:drawing>
      </w:r>
    </w:p>
    <w:p w:rsidR="00894F60" w:rsidRPr="00894F60" w:rsidRDefault="00894F60" w:rsidP="00894F60">
      <w:pPr>
        <w:keepNext/>
        <w:jc w:val="both"/>
        <w:rPr>
          <w:lang w:val="en-AU"/>
        </w:rPr>
      </w:pPr>
    </w:p>
    <w:p w:rsidR="00894F60" w:rsidRPr="00894F60" w:rsidRDefault="00894F60" w:rsidP="00894F60">
      <w:pPr>
        <w:pStyle w:val="Caption"/>
        <w:jc w:val="center"/>
        <w:rPr>
          <w:color w:val="auto"/>
          <w:sz w:val="24"/>
          <w:szCs w:val="24"/>
        </w:rPr>
      </w:pPr>
      <w:r w:rsidRPr="00894F60">
        <w:rPr>
          <w:color w:val="auto"/>
          <w:sz w:val="24"/>
          <w:szCs w:val="24"/>
        </w:rPr>
        <w:t xml:space="preserve">Figure </w:t>
      </w:r>
      <w:r w:rsidRPr="00894F60">
        <w:rPr>
          <w:color w:val="auto"/>
          <w:sz w:val="24"/>
          <w:szCs w:val="24"/>
        </w:rPr>
        <w:fldChar w:fldCharType="begin"/>
      </w:r>
      <w:r w:rsidRPr="00894F60">
        <w:rPr>
          <w:color w:val="auto"/>
          <w:sz w:val="24"/>
          <w:szCs w:val="24"/>
        </w:rPr>
        <w:instrText xml:space="preserve"> SEQ Figure \* ARABIC </w:instrText>
      </w:r>
      <w:r w:rsidRPr="00894F60">
        <w:rPr>
          <w:color w:val="auto"/>
          <w:sz w:val="24"/>
          <w:szCs w:val="24"/>
        </w:rPr>
        <w:fldChar w:fldCharType="separate"/>
      </w:r>
      <w:r>
        <w:rPr>
          <w:noProof/>
          <w:color w:val="auto"/>
          <w:sz w:val="24"/>
          <w:szCs w:val="24"/>
        </w:rPr>
        <w:t>1</w:t>
      </w:r>
      <w:r w:rsidRPr="00894F60">
        <w:rPr>
          <w:color w:val="auto"/>
          <w:sz w:val="24"/>
          <w:szCs w:val="24"/>
        </w:rPr>
        <w:fldChar w:fldCharType="end"/>
      </w:r>
      <w:r w:rsidRPr="00894F60">
        <w:rPr>
          <w:color w:val="auto"/>
          <w:sz w:val="24"/>
          <w:szCs w:val="24"/>
        </w:rPr>
        <w:t xml:space="preserve">: Setup of the </w:t>
      </w:r>
      <w:proofErr w:type="spellStart"/>
      <w:r w:rsidRPr="00894F60">
        <w:rPr>
          <w:color w:val="auto"/>
          <w:sz w:val="24"/>
          <w:szCs w:val="24"/>
        </w:rPr>
        <w:t>Spectronus</w:t>
      </w:r>
      <w:proofErr w:type="spellEnd"/>
      <w:r w:rsidRPr="00894F60">
        <w:rPr>
          <w:color w:val="auto"/>
          <w:sz w:val="24"/>
          <w:szCs w:val="24"/>
        </w:rPr>
        <w:t xml:space="preserve"> trace gas </w:t>
      </w:r>
      <w:proofErr w:type="spellStart"/>
      <w:r w:rsidRPr="00894F60">
        <w:rPr>
          <w:color w:val="auto"/>
          <w:sz w:val="24"/>
          <w:szCs w:val="24"/>
        </w:rPr>
        <w:t>analyser</w:t>
      </w:r>
      <w:proofErr w:type="spellEnd"/>
      <w:r w:rsidRPr="00894F60">
        <w:rPr>
          <w:color w:val="auto"/>
          <w:sz w:val="24"/>
          <w:szCs w:val="24"/>
        </w:rPr>
        <w:t xml:space="preserve"> during N2O </w:t>
      </w:r>
      <w:proofErr w:type="spellStart"/>
      <w:r w:rsidRPr="00894F60">
        <w:rPr>
          <w:color w:val="auto"/>
          <w:sz w:val="24"/>
          <w:szCs w:val="24"/>
        </w:rPr>
        <w:t>intercomparison</w:t>
      </w:r>
      <w:proofErr w:type="spellEnd"/>
      <w:r w:rsidRPr="00894F60">
        <w:rPr>
          <w:color w:val="auto"/>
          <w:sz w:val="24"/>
          <w:szCs w:val="24"/>
        </w:rPr>
        <w:t xml:space="preserve"> campaign.</w:t>
      </w:r>
    </w:p>
    <w:p w:rsidR="00894F60" w:rsidRDefault="00EB0106" w:rsidP="00894F60">
      <w:pPr>
        <w:keepNext/>
      </w:pPr>
      <w:r>
        <w:rPr>
          <w:noProof/>
          <w:lang w:val="en-AU" w:eastAsia="en-AU"/>
        </w:rPr>
        <w:lastRenderedPageBreak/>
        <w:drawing>
          <wp:inline distT="0" distB="0" distL="0" distR="0" wp14:anchorId="661BDF5B" wp14:editId="5654939A">
            <wp:extent cx="5181600" cy="2683907"/>
            <wp:effectExtent l="0" t="0" r="0" b="2540"/>
            <wp:docPr id="3" name="Picture 3" descr="C:\Users\mlaborde\Documents\Ecotech\Conferenc_Campaign\2013_INGOS_Edhinburg\TNA\exampleBa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aborde\Documents\Ecotech\Conferenc_Campaign\2013_INGOS_Edhinburg\TNA\exampleBag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897"/>
                    <a:stretch/>
                  </pic:blipFill>
                  <pic:spPr bwMode="auto">
                    <a:xfrm>
                      <a:off x="0" y="0"/>
                      <a:ext cx="5184832" cy="2685581"/>
                    </a:xfrm>
                    <a:prstGeom prst="rect">
                      <a:avLst/>
                    </a:prstGeom>
                    <a:noFill/>
                    <a:ln>
                      <a:noFill/>
                    </a:ln>
                    <a:extLst>
                      <a:ext uri="{53640926-AAD7-44D8-BBD7-CCE9431645EC}">
                        <a14:shadowObscured xmlns:a14="http://schemas.microsoft.com/office/drawing/2010/main"/>
                      </a:ext>
                    </a:extLst>
                  </pic:spPr>
                </pic:pic>
              </a:graphicData>
            </a:graphic>
          </wp:inline>
        </w:drawing>
      </w:r>
    </w:p>
    <w:p w:rsidR="00EB0106" w:rsidRPr="00894F60" w:rsidRDefault="00894F60" w:rsidP="00894F60">
      <w:pPr>
        <w:pStyle w:val="Caption"/>
        <w:jc w:val="center"/>
        <w:rPr>
          <w:color w:val="auto"/>
          <w:sz w:val="24"/>
        </w:rPr>
      </w:pPr>
      <w:r w:rsidRPr="00894F60">
        <w:rPr>
          <w:color w:val="auto"/>
          <w:sz w:val="24"/>
        </w:rPr>
        <w:t xml:space="preserve">Figure </w:t>
      </w:r>
      <w:r w:rsidRPr="00894F60">
        <w:rPr>
          <w:color w:val="auto"/>
          <w:sz w:val="24"/>
        </w:rPr>
        <w:fldChar w:fldCharType="begin"/>
      </w:r>
      <w:r w:rsidRPr="00894F60">
        <w:rPr>
          <w:color w:val="auto"/>
          <w:sz w:val="24"/>
        </w:rPr>
        <w:instrText xml:space="preserve"> SEQ Figure \* ARABIC </w:instrText>
      </w:r>
      <w:r w:rsidRPr="00894F60">
        <w:rPr>
          <w:color w:val="auto"/>
          <w:sz w:val="24"/>
        </w:rPr>
        <w:fldChar w:fldCharType="separate"/>
      </w:r>
      <w:r w:rsidRPr="00894F60">
        <w:rPr>
          <w:noProof/>
          <w:color w:val="auto"/>
          <w:sz w:val="24"/>
        </w:rPr>
        <w:t>2</w:t>
      </w:r>
      <w:r w:rsidRPr="00894F60">
        <w:rPr>
          <w:color w:val="auto"/>
          <w:sz w:val="24"/>
        </w:rPr>
        <w:fldChar w:fldCharType="end"/>
      </w:r>
      <w:r w:rsidRPr="00894F60">
        <w:rPr>
          <w:color w:val="auto"/>
          <w:sz w:val="24"/>
        </w:rPr>
        <w:t>: Plumbing diagram.</w:t>
      </w:r>
      <w:r>
        <w:rPr>
          <w:color w:val="auto"/>
          <w:sz w:val="24"/>
        </w:rPr>
        <w:t xml:space="preserve"> </w:t>
      </w:r>
      <w:r w:rsidRPr="00894F60">
        <w:rPr>
          <w:color w:val="auto"/>
          <w:sz w:val="24"/>
        </w:rPr>
        <w:t xml:space="preserve">The bags </w:t>
      </w:r>
      <w:proofErr w:type="gramStart"/>
      <w:r w:rsidRPr="00894F60">
        <w:rPr>
          <w:color w:val="auto"/>
          <w:sz w:val="24"/>
        </w:rPr>
        <w:t>number 1 are</w:t>
      </w:r>
      <w:proofErr w:type="gramEnd"/>
      <w:r w:rsidRPr="00894F60">
        <w:rPr>
          <w:color w:val="auto"/>
          <w:sz w:val="24"/>
        </w:rPr>
        <w:t xml:space="preserve"> filled up while the bag 2 up is being </w:t>
      </w:r>
      <w:proofErr w:type="spellStart"/>
      <w:r w:rsidRPr="00894F60">
        <w:rPr>
          <w:color w:val="auto"/>
          <w:sz w:val="24"/>
        </w:rPr>
        <w:t>analyser</w:t>
      </w:r>
      <w:proofErr w:type="spellEnd"/>
      <w:r w:rsidRPr="00894F60">
        <w:rPr>
          <w:color w:val="auto"/>
          <w:sz w:val="24"/>
        </w:rPr>
        <w:t xml:space="preserve"> with the </w:t>
      </w:r>
      <w:proofErr w:type="spellStart"/>
      <w:r w:rsidRPr="00894F60">
        <w:rPr>
          <w:color w:val="auto"/>
          <w:sz w:val="24"/>
        </w:rPr>
        <w:t>Spectronus</w:t>
      </w:r>
      <w:proofErr w:type="spellEnd"/>
      <w:r w:rsidRPr="00894F60">
        <w:rPr>
          <w:color w:val="auto"/>
          <w:sz w:val="24"/>
        </w:rPr>
        <w:t>.</w:t>
      </w:r>
    </w:p>
    <w:p w:rsidR="00EB0106" w:rsidRPr="009C0F71" w:rsidRDefault="00EB0106" w:rsidP="009C0F71"/>
    <w:p w:rsidR="00861515" w:rsidRPr="00861515" w:rsidRDefault="00861515" w:rsidP="00F20757">
      <w:pPr>
        <w:pStyle w:val="ListParagraph"/>
        <w:ind w:left="360"/>
        <w:rPr>
          <w:b/>
        </w:rPr>
      </w:pPr>
    </w:p>
    <w:p w:rsidR="00861515" w:rsidRDefault="00861515" w:rsidP="005515B2">
      <w:pPr>
        <w:pStyle w:val="ListParagraph"/>
        <w:numPr>
          <w:ilvl w:val="0"/>
          <w:numId w:val="2"/>
        </w:numPr>
        <w:ind w:left="360"/>
        <w:rPr>
          <w:b/>
        </w:rPr>
      </w:pPr>
      <w:proofErr w:type="spellStart"/>
      <w:r>
        <w:rPr>
          <w:b/>
        </w:rPr>
        <w:t>Implementaton</w:t>
      </w:r>
      <w:proofErr w:type="spellEnd"/>
      <w:r>
        <w:rPr>
          <w:b/>
        </w:rPr>
        <w:t>: timetable, budget, distribution of work</w:t>
      </w:r>
    </w:p>
    <w:p w:rsidR="00AF330E" w:rsidRDefault="00AF330E" w:rsidP="00000120"/>
    <w:p w:rsidR="00000120" w:rsidRDefault="00AF330E" w:rsidP="00000120">
      <w:r>
        <w:t xml:space="preserve">The following tasks are planned as described in the table. </w:t>
      </w:r>
    </w:p>
    <w:p w:rsidR="00AF330E" w:rsidRDefault="00AF330E" w:rsidP="00000120"/>
    <w:tbl>
      <w:tblPr>
        <w:tblStyle w:val="TableGrid"/>
        <w:tblW w:w="0" w:type="auto"/>
        <w:tblLook w:val="04A0" w:firstRow="1" w:lastRow="0" w:firstColumn="1" w:lastColumn="0" w:noHBand="0" w:noVBand="1"/>
      </w:tblPr>
      <w:tblGrid>
        <w:gridCol w:w="1923"/>
        <w:gridCol w:w="1891"/>
        <w:gridCol w:w="1781"/>
        <w:gridCol w:w="1492"/>
        <w:gridCol w:w="1865"/>
      </w:tblGrid>
      <w:tr w:rsidR="007E50AE" w:rsidTr="007E50AE">
        <w:tc>
          <w:tcPr>
            <w:tcW w:w="1923" w:type="dxa"/>
          </w:tcPr>
          <w:p w:rsidR="007E50AE" w:rsidRDefault="007E50AE" w:rsidP="00000120">
            <w:r>
              <w:t>task</w:t>
            </w:r>
          </w:p>
        </w:tc>
        <w:tc>
          <w:tcPr>
            <w:tcW w:w="1891" w:type="dxa"/>
          </w:tcPr>
          <w:p w:rsidR="007E50AE" w:rsidRDefault="007E50AE" w:rsidP="00000120">
            <w:r>
              <w:t>Starting date</w:t>
            </w:r>
          </w:p>
        </w:tc>
        <w:tc>
          <w:tcPr>
            <w:tcW w:w="1781" w:type="dxa"/>
          </w:tcPr>
          <w:p w:rsidR="007E50AE" w:rsidRDefault="007E50AE" w:rsidP="00000120">
            <w:r>
              <w:t>End date</w:t>
            </w:r>
          </w:p>
        </w:tc>
        <w:tc>
          <w:tcPr>
            <w:tcW w:w="1492" w:type="dxa"/>
          </w:tcPr>
          <w:p w:rsidR="007E50AE" w:rsidRDefault="007E50AE" w:rsidP="00000120">
            <w:r>
              <w:t>Location</w:t>
            </w:r>
          </w:p>
        </w:tc>
        <w:tc>
          <w:tcPr>
            <w:tcW w:w="1865" w:type="dxa"/>
          </w:tcPr>
          <w:p w:rsidR="007E50AE" w:rsidRDefault="007E50AE" w:rsidP="00000120">
            <w:r>
              <w:t>Responsible person</w:t>
            </w:r>
          </w:p>
        </w:tc>
      </w:tr>
      <w:tr w:rsidR="007E50AE" w:rsidTr="007E50AE">
        <w:tc>
          <w:tcPr>
            <w:tcW w:w="1923" w:type="dxa"/>
          </w:tcPr>
          <w:p w:rsidR="007E50AE" w:rsidRDefault="007E50AE" w:rsidP="00000120">
            <w:r>
              <w:t xml:space="preserve">Initial setup of the instruments – REA + </w:t>
            </w:r>
            <w:proofErr w:type="spellStart"/>
            <w:r>
              <w:t>Spectronus</w:t>
            </w:r>
            <w:proofErr w:type="spellEnd"/>
            <w:r>
              <w:t xml:space="preserve"> + sampling box</w:t>
            </w:r>
          </w:p>
        </w:tc>
        <w:tc>
          <w:tcPr>
            <w:tcW w:w="1891" w:type="dxa"/>
          </w:tcPr>
          <w:p w:rsidR="007E50AE" w:rsidRDefault="007E50AE" w:rsidP="00000120">
            <w:r>
              <w:t>21/05/2013</w:t>
            </w:r>
          </w:p>
        </w:tc>
        <w:tc>
          <w:tcPr>
            <w:tcW w:w="1781" w:type="dxa"/>
          </w:tcPr>
          <w:p w:rsidR="007E50AE" w:rsidRDefault="007E50AE" w:rsidP="00000120">
            <w:r>
              <w:t>25/05/2013</w:t>
            </w:r>
          </w:p>
        </w:tc>
        <w:tc>
          <w:tcPr>
            <w:tcW w:w="1492" w:type="dxa"/>
          </w:tcPr>
          <w:p w:rsidR="007E50AE" w:rsidRDefault="007E50AE" w:rsidP="00000120">
            <w:r>
              <w:t>ECN</w:t>
            </w:r>
          </w:p>
        </w:tc>
        <w:tc>
          <w:tcPr>
            <w:tcW w:w="1865" w:type="dxa"/>
          </w:tcPr>
          <w:p w:rsidR="007E50AE" w:rsidRDefault="007E50AE" w:rsidP="00000120">
            <w:r>
              <w:t xml:space="preserve">Alex </w:t>
            </w:r>
            <w:proofErr w:type="spellStart"/>
            <w:r>
              <w:t>Vermuelen</w:t>
            </w:r>
            <w:proofErr w:type="spellEnd"/>
          </w:p>
        </w:tc>
      </w:tr>
      <w:tr w:rsidR="007E50AE" w:rsidTr="007E50AE">
        <w:tc>
          <w:tcPr>
            <w:tcW w:w="1923" w:type="dxa"/>
          </w:tcPr>
          <w:p w:rsidR="007E50AE" w:rsidRDefault="007E50AE" w:rsidP="00000120">
            <w:r>
              <w:t>Shipment instrument (ferry)</w:t>
            </w:r>
          </w:p>
        </w:tc>
        <w:tc>
          <w:tcPr>
            <w:tcW w:w="1891" w:type="dxa"/>
          </w:tcPr>
          <w:p w:rsidR="007E50AE" w:rsidRDefault="007E50AE" w:rsidP="00000120">
            <w:r>
              <w:t>02/06/2013</w:t>
            </w:r>
          </w:p>
        </w:tc>
        <w:tc>
          <w:tcPr>
            <w:tcW w:w="1781" w:type="dxa"/>
          </w:tcPr>
          <w:p w:rsidR="007E50AE" w:rsidRDefault="007E50AE" w:rsidP="00000120">
            <w:r>
              <w:t>02/06/2013</w:t>
            </w:r>
          </w:p>
        </w:tc>
        <w:tc>
          <w:tcPr>
            <w:tcW w:w="1492" w:type="dxa"/>
          </w:tcPr>
          <w:p w:rsidR="007E50AE" w:rsidRDefault="007E50AE" w:rsidP="00000120">
            <w:r>
              <w:t>n/a</w:t>
            </w:r>
          </w:p>
        </w:tc>
        <w:tc>
          <w:tcPr>
            <w:tcW w:w="1865" w:type="dxa"/>
          </w:tcPr>
          <w:p w:rsidR="007E50AE" w:rsidRDefault="007E50AE" w:rsidP="00000120">
            <w:r>
              <w:t xml:space="preserve">Alex </w:t>
            </w:r>
            <w:proofErr w:type="spellStart"/>
            <w:r>
              <w:t>Vermuelen</w:t>
            </w:r>
            <w:proofErr w:type="spellEnd"/>
          </w:p>
        </w:tc>
      </w:tr>
      <w:tr w:rsidR="007E50AE" w:rsidRPr="007E50AE" w:rsidTr="007E50AE">
        <w:tc>
          <w:tcPr>
            <w:tcW w:w="1923" w:type="dxa"/>
          </w:tcPr>
          <w:p w:rsidR="007E50AE" w:rsidRDefault="007E50AE" w:rsidP="00000120">
            <w:r>
              <w:t xml:space="preserve">Setup of the instruments at </w:t>
            </w:r>
            <w:proofErr w:type="spellStart"/>
            <w:r>
              <w:t>easter</w:t>
            </w:r>
            <w:proofErr w:type="spellEnd"/>
            <w:r>
              <w:t xml:space="preserve"> bush</w:t>
            </w:r>
          </w:p>
        </w:tc>
        <w:tc>
          <w:tcPr>
            <w:tcW w:w="1891" w:type="dxa"/>
          </w:tcPr>
          <w:p w:rsidR="007E50AE" w:rsidRDefault="007E50AE" w:rsidP="00000120">
            <w:r>
              <w:t>02/06/2013</w:t>
            </w:r>
          </w:p>
        </w:tc>
        <w:tc>
          <w:tcPr>
            <w:tcW w:w="1781" w:type="dxa"/>
          </w:tcPr>
          <w:p w:rsidR="007E50AE" w:rsidRDefault="007E50AE" w:rsidP="00000120">
            <w:r>
              <w:t>04/06/2013</w:t>
            </w:r>
          </w:p>
        </w:tc>
        <w:tc>
          <w:tcPr>
            <w:tcW w:w="1492" w:type="dxa"/>
          </w:tcPr>
          <w:p w:rsidR="007E50AE" w:rsidRDefault="007E50AE" w:rsidP="00000120">
            <w:r>
              <w:t>CEH</w:t>
            </w:r>
          </w:p>
        </w:tc>
        <w:tc>
          <w:tcPr>
            <w:tcW w:w="1865" w:type="dxa"/>
          </w:tcPr>
          <w:p w:rsidR="007E50AE" w:rsidRDefault="007E50AE" w:rsidP="00000120">
            <w:r>
              <w:t>Alex / Marie</w:t>
            </w:r>
          </w:p>
        </w:tc>
      </w:tr>
      <w:tr w:rsidR="007E50AE" w:rsidRPr="007E50AE" w:rsidTr="007E50AE">
        <w:tc>
          <w:tcPr>
            <w:tcW w:w="1923" w:type="dxa"/>
          </w:tcPr>
          <w:p w:rsidR="007E50AE" w:rsidRPr="007E50AE" w:rsidRDefault="007E50AE" w:rsidP="00000120">
            <w:pPr>
              <w:rPr>
                <w:lang w:val="de-CH"/>
              </w:rPr>
            </w:pPr>
            <w:r>
              <w:rPr>
                <w:lang w:val="de-CH"/>
              </w:rPr>
              <w:t>Background measurement</w:t>
            </w:r>
          </w:p>
        </w:tc>
        <w:tc>
          <w:tcPr>
            <w:tcW w:w="1891" w:type="dxa"/>
          </w:tcPr>
          <w:p w:rsidR="007E50AE" w:rsidRPr="007E50AE" w:rsidRDefault="007E50AE" w:rsidP="00000120">
            <w:pPr>
              <w:rPr>
                <w:lang w:val="de-CH"/>
              </w:rPr>
            </w:pPr>
            <w:r>
              <w:rPr>
                <w:lang w:val="de-CH"/>
              </w:rPr>
              <w:t>4/06/2013</w:t>
            </w:r>
          </w:p>
        </w:tc>
        <w:tc>
          <w:tcPr>
            <w:tcW w:w="1781" w:type="dxa"/>
          </w:tcPr>
          <w:p w:rsidR="007E50AE" w:rsidRPr="007E50AE" w:rsidRDefault="007E50AE" w:rsidP="00000120">
            <w:pPr>
              <w:rPr>
                <w:lang w:val="de-CH"/>
              </w:rPr>
            </w:pPr>
            <w:r>
              <w:rPr>
                <w:lang w:val="de-CH"/>
              </w:rPr>
              <w:t>8/06/2013</w:t>
            </w:r>
          </w:p>
        </w:tc>
        <w:tc>
          <w:tcPr>
            <w:tcW w:w="1492" w:type="dxa"/>
          </w:tcPr>
          <w:p w:rsidR="007E50AE" w:rsidRPr="007E50AE" w:rsidRDefault="007E50AE" w:rsidP="00000120">
            <w:pPr>
              <w:rPr>
                <w:lang w:val="de-CH"/>
              </w:rPr>
            </w:pPr>
            <w:r>
              <w:rPr>
                <w:lang w:val="de-CH"/>
              </w:rPr>
              <w:t>CEH</w:t>
            </w:r>
          </w:p>
        </w:tc>
        <w:tc>
          <w:tcPr>
            <w:tcW w:w="1865" w:type="dxa"/>
          </w:tcPr>
          <w:p w:rsidR="007E50AE" w:rsidRPr="007E50AE" w:rsidRDefault="007E50AE" w:rsidP="00000120">
            <w:pPr>
              <w:rPr>
                <w:lang w:val="de-CH"/>
              </w:rPr>
            </w:pPr>
            <w:r>
              <w:rPr>
                <w:lang w:val="de-CH"/>
              </w:rPr>
              <w:t>Alex/Marie</w:t>
            </w:r>
          </w:p>
        </w:tc>
      </w:tr>
      <w:tr w:rsidR="007E50AE" w:rsidRPr="007E50AE" w:rsidTr="007E50AE">
        <w:tc>
          <w:tcPr>
            <w:tcW w:w="1923" w:type="dxa"/>
          </w:tcPr>
          <w:p w:rsidR="007E50AE" w:rsidRDefault="007E50AE" w:rsidP="00000120">
            <w:pPr>
              <w:rPr>
                <w:lang w:val="de-CH"/>
              </w:rPr>
            </w:pPr>
            <w:r>
              <w:rPr>
                <w:lang w:val="de-CH"/>
              </w:rPr>
              <w:t>Measurement of fertilized grassland</w:t>
            </w:r>
          </w:p>
        </w:tc>
        <w:tc>
          <w:tcPr>
            <w:tcW w:w="1891" w:type="dxa"/>
          </w:tcPr>
          <w:p w:rsidR="007E50AE" w:rsidRDefault="007E50AE" w:rsidP="00000120">
            <w:pPr>
              <w:rPr>
                <w:lang w:val="de-CH"/>
              </w:rPr>
            </w:pPr>
            <w:r>
              <w:rPr>
                <w:lang w:val="de-CH"/>
              </w:rPr>
              <w:t>8/06/2013</w:t>
            </w:r>
          </w:p>
        </w:tc>
        <w:tc>
          <w:tcPr>
            <w:tcW w:w="1781" w:type="dxa"/>
          </w:tcPr>
          <w:p w:rsidR="007E50AE" w:rsidRDefault="007E50AE" w:rsidP="00000120">
            <w:pPr>
              <w:rPr>
                <w:lang w:val="de-CH"/>
              </w:rPr>
            </w:pPr>
            <w:r>
              <w:rPr>
                <w:lang w:val="de-CH"/>
              </w:rPr>
              <w:t>28/06/2013</w:t>
            </w:r>
          </w:p>
        </w:tc>
        <w:tc>
          <w:tcPr>
            <w:tcW w:w="1492" w:type="dxa"/>
          </w:tcPr>
          <w:p w:rsidR="007E50AE" w:rsidRDefault="007E50AE" w:rsidP="00000120">
            <w:pPr>
              <w:rPr>
                <w:lang w:val="de-CH"/>
              </w:rPr>
            </w:pPr>
            <w:r>
              <w:rPr>
                <w:lang w:val="de-CH"/>
              </w:rPr>
              <w:t>CEH</w:t>
            </w:r>
          </w:p>
        </w:tc>
        <w:tc>
          <w:tcPr>
            <w:tcW w:w="1865" w:type="dxa"/>
          </w:tcPr>
          <w:p w:rsidR="007E50AE" w:rsidRDefault="007E50AE" w:rsidP="00000120">
            <w:pPr>
              <w:rPr>
                <w:lang w:val="de-CH"/>
              </w:rPr>
            </w:pPr>
            <w:r>
              <w:rPr>
                <w:lang w:val="de-CH"/>
              </w:rPr>
              <w:t>Alex/Marie</w:t>
            </w:r>
          </w:p>
        </w:tc>
      </w:tr>
      <w:tr w:rsidR="00AF330E" w:rsidRPr="007E50AE" w:rsidTr="007E50AE">
        <w:tc>
          <w:tcPr>
            <w:tcW w:w="1923" w:type="dxa"/>
          </w:tcPr>
          <w:p w:rsidR="00AF330E" w:rsidRDefault="00AF330E" w:rsidP="00000120">
            <w:pPr>
              <w:rPr>
                <w:lang w:val="de-CH"/>
              </w:rPr>
            </w:pPr>
            <w:r>
              <w:rPr>
                <w:lang w:val="de-CH"/>
              </w:rPr>
              <w:t>Packup</w:t>
            </w:r>
          </w:p>
        </w:tc>
        <w:tc>
          <w:tcPr>
            <w:tcW w:w="1891" w:type="dxa"/>
          </w:tcPr>
          <w:p w:rsidR="00AF330E" w:rsidRDefault="00AF330E" w:rsidP="00000120">
            <w:pPr>
              <w:rPr>
                <w:lang w:val="de-CH"/>
              </w:rPr>
            </w:pPr>
            <w:r>
              <w:rPr>
                <w:lang w:val="de-CH"/>
              </w:rPr>
              <w:t>28/06/2013</w:t>
            </w:r>
          </w:p>
        </w:tc>
        <w:tc>
          <w:tcPr>
            <w:tcW w:w="1781" w:type="dxa"/>
          </w:tcPr>
          <w:p w:rsidR="00AF330E" w:rsidRDefault="00AF330E" w:rsidP="00000120">
            <w:pPr>
              <w:rPr>
                <w:lang w:val="de-CH"/>
              </w:rPr>
            </w:pPr>
            <w:r>
              <w:rPr>
                <w:lang w:val="de-CH"/>
              </w:rPr>
              <w:t>28/06/2013</w:t>
            </w:r>
          </w:p>
        </w:tc>
        <w:tc>
          <w:tcPr>
            <w:tcW w:w="1492" w:type="dxa"/>
          </w:tcPr>
          <w:p w:rsidR="00AF330E" w:rsidRDefault="00AF330E" w:rsidP="00000120">
            <w:pPr>
              <w:rPr>
                <w:lang w:val="de-CH"/>
              </w:rPr>
            </w:pPr>
            <w:r>
              <w:rPr>
                <w:lang w:val="de-CH"/>
              </w:rPr>
              <w:t>CEH</w:t>
            </w:r>
          </w:p>
        </w:tc>
        <w:tc>
          <w:tcPr>
            <w:tcW w:w="1865" w:type="dxa"/>
          </w:tcPr>
          <w:p w:rsidR="00AF330E" w:rsidRDefault="00AF330E" w:rsidP="00000120">
            <w:pPr>
              <w:rPr>
                <w:lang w:val="de-CH"/>
              </w:rPr>
            </w:pPr>
            <w:r>
              <w:rPr>
                <w:lang w:val="de-CH"/>
              </w:rPr>
              <w:t>Alex</w:t>
            </w:r>
          </w:p>
        </w:tc>
      </w:tr>
    </w:tbl>
    <w:p w:rsidR="00000120" w:rsidRDefault="00000120" w:rsidP="00000120">
      <w:pPr>
        <w:rPr>
          <w:lang w:val="de-CH"/>
        </w:rPr>
      </w:pPr>
    </w:p>
    <w:tbl>
      <w:tblPr>
        <w:tblStyle w:val="TableGrid"/>
        <w:tblpPr w:leftFromText="180" w:rightFromText="180" w:vertAnchor="text" w:horzAnchor="margin" w:tblpXSpec="center" w:tblpY="2099"/>
        <w:tblOverlap w:val="never"/>
        <w:tblW w:w="11820" w:type="dxa"/>
        <w:tblLook w:val="04A0" w:firstRow="1" w:lastRow="0" w:firstColumn="1" w:lastColumn="0" w:noHBand="0" w:noVBand="1"/>
      </w:tblPr>
      <w:tblGrid>
        <w:gridCol w:w="685"/>
        <w:gridCol w:w="345"/>
        <w:gridCol w:w="345"/>
        <w:gridCol w:w="345"/>
        <w:gridCol w:w="345"/>
        <w:gridCol w:w="344"/>
        <w:gridCol w:w="344"/>
        <w:gridCol w:w="344"/>
        <w:gridCol w:w="344"/>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tblGrid>
      <w:tr w:rsidR="00AF330E" w:rsidRPr="00AF330E" w:rsidTr="00DF6D3C">
        <w:trPr>
          <w:trHeight w:val="427"/>
        </w:trPr>
        <w:tc>
          <w:tcPr>
            <w:tcW w:w="685" w:type="dxa"/>
          </w:tcPr>
          <w:p w:rsidR="00AF330E" w:rsidRPr="00AF330E" w:rsidRDefault="00AF330E" w:rsidP="00AF330E">
            <w:pPr>
              <w:rPr>
                <w:rFonts w:ascii="Arial" w:hAnsi="Arial" w:cs="Arial"/>
                <w:sz w:val="16"/>
                <w:szCs w:val="16"/>
                <w:lang w:val="en-AU"/>
              </w:rPr>
            </w:pPr>
            <w:r>
              <w:rPr>
                <w:rFonts w:ascii="Arial" w:hAnsi="Arial" w:cs="Arial"/>
                <w:sz w:val="16"/>
                <w:szCs w:val="16"/>
                <w:lang w:val="en-AU"/>
              </w:rPr>
              <w:lastRenderedPageBreak/>
              <w:t>name</w:t>
            </w:r>
          </w:p>
        </w:tc>
        <w:tc>
          <w:tcPr>
            <w:tcW w:w="345"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w:t>
            </w:r>
          </w:p>
        </w:tc>
        <w:tc>
          <w:tcPr>
            <w:tcW w:w="345"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3</w:t>
            </w:r>
          </w:p>
        </w:tc>
        <w:tc>
          <w:tcPr>
            <w:tcW w:w="345"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4</w:t>
            </w:r>
          </w:p>
        </w:tc>
        <w:tc>
          <w:tcPr>
            <w:tcW w:w="345"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5</w:t>
            </w:r>
          </w:p>
        </w:tc>
        <w:tc>
          <w:tcPr>
            <w:tcW w:w="344"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6</w:t>
            </w:r>
          </w:p>
        </w:tc>
        <w:tc>
          <w:tcPr>
            <w:tcW w:w="344"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7</w:t>
            </w:r>
          </w:p>
        </w:tc>
        <w:tc>
          <w:tcPr>
            <w:tcW w:w="344"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8</w:t>
            </w:r>
          </w:p>
        </w:tc>
        <w:tc>
          <w:tcPr>
            <w:tcW w:w="344"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9</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10</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11</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12</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13</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14</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15</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16</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17</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18</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19</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20</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21</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22</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23</w:t>
            </w:r>
          </w:p>
        </w:tc>
        <w:tc>
          <w:tcPr>
            <w:tcW w:w="441" w:type="dxa"/>
            <w:tcBorders>
              <w:bottom w:val="single" w:sz="4" w:space="0" w:color="auto"/>
            </w:tcBorders>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24</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25</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26</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27</w:t>
            </w:r>
          </w:p>
        </w:tc>
        <w:tc>
          <w:tcPr>
            <w:tcW w:w="441" w:type="dxa"/>
          </w:tcPr>
          <w:p w:rsidR="00AF330E" w:rsidRPr="00AF330E" w:rsidRDefault="00AF330E" w:rsidP="00AF330E">
            <w:pPr>
              <w:rPr>
                <w:rFonts w:ascii="Arial" w:hAnsi="Arial" w:cs="Arial"/>
                <w:sz w:val="16"/>
                <w:szCs w:val="16"/>
                <w:lang w:val="en-AU"/>
              </w:rPr>
            </w:pPr>
            <w:r w:rsidRPr="00AF330E">
              <w:rPr>
                <w:rFonts w:ascii="Arial" w:hAnsi="Arial" w:cs="Arial"/>
                <w:sz w:val="16"/>
                <w:szCs w:val="16"/>
                <w:lang w:val="en-AU"/>
              </w:rPr>
              <w:t>28</w:t>
            </w:r>
          </w:p>
        </w:tc>
      </w:tr>
      <w:tr w:rsidR="00AF330E" w:rsidRPr="00AF330E" w:rsidTr="00DF6D3C">
        <w:trPr>
          <w:trHeight w:val="221"/>
        </w:trPr>
        <w:tc>
          <w:tcPr>
            <w:tcW w:w="685" w:type="dxa"/>
          </w:tcPr>
          <w:p w:rsidR="00AF330E" w:rsidRPr="00AF330E" w:rsidRDefault="00AF330E" w:rsidP="00AF330E">
            <w:pPr>
              <w:rPr>
                <w:rFonts w:ascii="Arial" w:hAnsi="Arial" w:cs="Arial"/>
                <w:sz w:val="16"/>
                <w:szCs w:val="16"/>
                <w:lang w:val="en-AU"/>
              </w:rPr>
            </w:pPr>
            <w:proofErr w:type="spellStart"/>
            <w:r>
              <w:rPr>
                <w:rFonts w:ascii="Arial" w:hAnsi="Arial" w:cs="Arial"/>
                <w:sz w:val="16"/>
                <w:szCs w:val="16"/>
                <w:lang w:val="en-AU"/>
              </w:rPr>
              <w:t>marie</w:t>
            </w:r>
            <w:proofErr w:type="spellEnd"/>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4" w:type="dxa"/>
            <w:shd w:val="clear" w:color="auto" w:fill="92D050"/>
          </w:tcPr>
          <w:p w:rsidR="00AF330E" w:rsidRPr="00AF330E" w:rsidRDefault="00AF330E" w:rsidP="00AF330E">
            <w:pPr>
              <w:rPr>
                <w:rFonts w:ascii="Arial" w:hAnsi="Arial" w:cs="Arial"/>
                <w:sz w:val="16"/>
                <w:szCs w:val="16"/>
                <w:lang w:val="en-AU"/>
              </w:rPr>
            </w:pPr>
          </w:p>
        </w:tc>
        <w:tc>
          <w:tcPr>
            <w:tcW w:w="344" w:type="dxa"/>
            <w:shd w:val="clear" w:color="auto" w:fill="92D050"/>
          </w:tcPr>
          <w:p w:rsidR="00AF330E" w:rsidRPr="00AF330E" w:rsidRDefault="00AF330E" w:rsidP="00AF330E">
            <w:pPr>
              <w:rPr>
                <w:rFonts w:ascii="Arial" w:hAnsi="Arial" w:cs="Arial"/>
                <w:sz w:val="16"/>
                <w:szCs w:val="16"/>
                <w:lang w:val="en-AU"/>
              </w:rPr>
            </w:pPr>
          </w:p>
        </w:tc>
        <w:tc>
          <w:tcPr>
            <w:tcW w:w="344" w:type="dxa"/>
            <w:shd w:val="clear" w:color="auto" w:fill="92D050"/>
          </w:tcPr>
          <w:p w:rsidR="00AF330E" w:rsidRPr="00AF330E" w:rsidRDefault="00AF330E" w:rsidP="00AF330E">
            <w:pPr>
              <w:rPr>
                <w:rFonts w:ascii="Arial" w:hAnsi="Arial" w:cs="Arial"/>
                <w:sz w:val="16"/>
                <w:szCs w:val="16"/>
                <w:lang w:val="en-AU"/>
              </w:rPr>
            </w:pPr>
          </w:p>
        </w:tc>
        <w:tc>
          <w:tcPr>
            <w:tcW w:w="344"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shd w:val="clear" w:color="auto" w:fill="auto"/>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r>
      <w:tr w:rsidR="00DF6D3C" w:rsidRPr="00AF330E" w:rsidTr="00DF6D3C">
        <w:trPr>
          <w:trHeight w:val="221"/>
        </w:trPr>
        <w:tc>
          <w:tcPr>
            <w:tcW w:w="685" w:type="dxa"/>
          </w:tcPr>
          <w:p w:rsidR="00AF330E" w:rsidRDefault="00AF330E" w:rsidP="00AF330E">
            <w:pPr>
              <w:rPr>
                <w:rFonts w:ascii="Arial" w:hAnsi="Arial" w:cs="Arial"/>
                <w:sz w:val="16"/>
                <w:szCs w:val="16"/>
                <w:lang w:val="en-AU"/>
              </w:rPr>
            </w:pPr>
            <w:r>
              <w:rPr>
                <w:rFonts w:ascii="Arial" w:hAnsi="Arial" w:cs="Arial"/>
                <w:sz w:val="16"/>
                <w:szCs w:val="16"/>
                <w:lang w:val="en-AU"/>
              </w:rPr>
              <w:t>Alex</w:t>
            </w:r>
          </w:p>
        </w:tc>
        <w:tc>
          <w:tcPr>
            <w:tcW w:w="345" w:type="dxa"/>
            <w:shd w:val="clear" w:color="auto" w:fill="92D050"/>
          </w:tcPr>
          <w:p w:rsidR="00AF330E" w:rsidRPr="00AF330E" w:rsidRDefault="00AF330E" w:rsidP="00AF330E">
            <w:pPr>
              <w:rPr>
                <w:rFonts w:ascii="Arial" w:hAnsi="Arial" w:cs="Arial"/>
                <w:sz w:val="16"/>
                <w:szCs w:val="16"/>
                <w:highlight w:val="green"/>
                <w:lang w:val="en-AU"/>
              </w:rPr>
            </w:pPr>
          </w:p>
        </w:tc>
        <w:tc>
          <w:tcPr>
            <w:tcW w:w="345" w:type="dxa"/>
            <w:shd w:val="clear" w:color="auto" w:fill="92D050"/>
          </w:tcPr>
          <w:p w:rsidR="00AF330E" w:rsidRPr="00AF330E" w:rsidRDefault="00AF330E" w:rsidP="00AF330E">
            <w:pPr>
              <w:rPr>
                <w:rFonts w:ascii="Arial" w:hAnsi="Arial" w:cs="Arial"/>
                <w:sz w:val="16"/>
                <w:szCs w:val="16"/>
                <w:highlight w:val="green"/>
                <w:lang w:val="en-AU"/>
              </w:rPr>
            </w:pPr>
          </w:p>
        </w:tc>
        <w:tc>
          <w:tcPr>
            <w:tcW w:w="345" w:type="dxa"/>
            <w:shd w:val="clear" w:color="auto" w:fill="92D050"/>
          </w:tcPr>
          <w:p w:rsidR="00AF330E" w:rsidRPr="00AF330E" w:rsidRDefault="00AF330E" w:rsidP="00AF330E">
            <w:pPr>
              <w:rPr>
                <w:rFonts w:ascii="Arial" w:hAnsi="Arial" w:cs="Arial"/>
                <w:sz w:val="16"/>
                <w:szCs w:val="16"/>
                <w:highlight w:val="green"/>
                <w:lang w:val="en-AU"/>
              </w:rPr>
            </w:pPr>
          </w:p>
        </w:tc>
        <w:tc>
          <w:tcPr>
            <w:tcW w:w="345" w:type="dxa"/>
            <w:shd w:val="clear" w:color="auto" w:fill="92D050"/>
          </w:tcPr>
          <w:p w:rsidR="00AF330E" w:rsidRPr="00AF330E" w:rsidRDefault="00AF330E" w:rsidP="00AF330E">
            <w:pPr>
              <w:rPr>
                <w:rFonts w:ascii="Arial" w:hAnsi="Arial" w:cs="Arial"/>
                <w:sz w:val="16"/>
                <w:szCs w:val="16"/>
                <w:highlight w:val="green"/>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r>
      <w:tr w:rsidR="00DF6D3C" w:rsidRPr="00AF330E" w:rsidTr="00DF6D3C">
        <w:trPr>
          <w:trHeight w:val="221"/>
        </w:trPr>
        <w:tc>
          <w:tcPr>
            <w:tcW w:w="685" w:type="dxa"/>
          </w:tcPr>
          <w:p w:rsidR="00AF330E" w:rsidRDefault="00AF330E" w:rsidP="00AF330E">
            <w:pPr>
              <w:rPr>
                <w:rFonts w:ascii="Arial" w:hAnsi="Arial" w:cs="Arial"/>
                <w:sz w:val="16"/>
                <w:szCs w:val="16"/>
                <w:lang w:val="en-AU"/>
              </w:rPr>
            </w:pPr>
            <w:proofErr w:type="spellStart"/>
            <w:r>
              <w:rPr>
                <w:rFonts w:ascii="Arial" w:hAnsi="Arial" w:cs="Arial"/>
                <w:sz w:val="16"/>
                <w:szCs w:val="16"/>
                <w:lang w:val="en-AU"/>
              </w:rPr>
              <w:t>Pim</w:t>
            </w:r>
            <w:proofErr w:type="spellEnd"/>
            <w:r>
              <w:rPr>
                <w:rFonts w:ascii="Arial" w:hAnsi="Arial" w:cs="Arial"/>
                <w:sz w:val="16"/>
                <w:szCs w:val="16"/>
                <w:lang w:val="en-AU"/>
              </w:rPr>
              <w:t xml:space="preserve"> </w:t>
            </w: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5" w:type="dxa"/>
            <w:shd w:val="clear" w:color="auto" w:fill="92D050"/>
          </w:tcPr>
          <w:p w:rsidR="00AF330E" w:rsidRPr="00AF330E" w:rsidRDefault="00AF330E" w:rsidP="00AF330E">
            <w:pPr>
              <w:rPr>
                <w:rFonts w:ascii="Arial" w:hAnsi="Arial" w:cs="Arial"/>
                <w:sz w:val="16"/>
                <w:szCs w:val="16"/>
                <w:lang w:val="en-AU"/>
              </w:rPr>
            </w:pPr>
          </w:p>
        </w:tc>
        <w:tc>
          <w:tcPr>
            <w:tcW w:w="344" w:type="dxa"/>
            <w:shd w:val="clear" w:color="auto" w:fill="92D050"/>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shd w:val="clear" w:color="auto" w:fill="92D050"/>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r>
      <w:tr w:rsidR="00DF6D3C" w:rsidRPr="00AF330E" w:rsidTr="00DF6D3C">
        <w:trPr>
          <w:trHeight w:val="221"/>
        </w:trPr>
        <w:tc>
          <w:tcPr>
            <w:tcW w:w="685" w:type="dxa"/>
          </w:tcPr>
          <w:p w:rsidR="00AF330E" w:rsidRDefault="00AF330E" w:rsidP="00AF330E">
            <w:pPr>
              <w:rPr>
                <w:rFonts w:ascii="Arial" w:hAnsi="Arial" w:cs="Arial"/>
                <w:sz w:val="16"/>
                <w:szCs w:val="16"/>
                <w:lang w:val="en-AU"/>
              </w:rPr>
            </w:pPr>
            <w:r>
              <w:rPr>
                <w:rFonts w:ascii="Arial" w:hAnsi="Arial" w:cs="Arial"/>
                <w:sz w:val="16"/>
                <w:szCs w:val="16"/>
                <w:lang w:val="en-AU"/>
              </w:rPr>
              <w:t>CEH</w:t>
            </w:r>
          </w:p>
        </w:tc>
        <w:tc>
          <w:tcPr>
            <w:tcW w:w="345" w:type="dxa"/>
            <w:shd w:val="clear" w:color="auto" w:fill="FF0000"/>
          </w:tcPr>
          <w:p w:rsidR="00AF330E" w:rsidRPr="00AF330E" w:rsidRDefault="00AF330E" w:rsidP="00AF330E">
            <w:pPr>
              <w:rPr>
                <w:rFonts w:ascii="Arial" w:hAnsi="Arial" w:cs="Arial"/>
                <w:sz w:val="16"/>
                <w:szCs w:val="16"/>
                <w:lang w:val="en-AU"/>
              </w:rPr>
            </w:pPr>
          </w:p>
        </w:tc>
        <w:tc>
          <w:tcPr>
            <w:tcW w:w="345" w:type="dxa"/>
            <w:shd w:val="clear" w:color="auto" w:fill="FF0000"/>
          </w:tcPr>
          <w:p w:rsidR="00AF330E" w:rsidRPr="00AF330E" w:rsidRDefault="00AF330E" w:rsidP="00AF330E">
            <w:pPr>
              <w:rPr>
                <w:rFonts w:ascii="Arial" w:hAnsi="Arial" w:cs="Arial"/>
                <w:sz w:val="16"/>
                <w:szCs w:val="16"/>
                <w:lang w:val="en-AU"/>
              </w:rPr>
            </w:pPr>
          </w:p>
        </w:tc>
        <w:tc>
          <w:tcPr>
            <w:tcW w:w="345" w:type="dxa"/>
            <w:shd w:val="clear" w:color="auto" w:fill="FF0000"/>
          </w:tcPr>
          <w:p w:rsidR="00AF330E" w:rsidRPr="00AF330E" w:rsidRDefault="00AF330E" w:rsidP="00AF330E">
            <w:pPr>
              <w:rPr>
                <w:rFonts w:ascii="Arial" w:hAnsi="Arial" w:cs="Arial"/>
                <w:sz w:val="16"/>
                <w:szCs w:val="16"/>
                <w:lang w:val="en-AU"/>
              </w:rPr>
            </w:pPr>
          </w:p>
        </w:tc>
        <w:tc>
          <w:tcPr>
            <w:tcW w:w="345" w:type="dxa"/>
            <w:shd w:val="clear" w:color="auto" w:fill="FF0000"/>
          </w:tcPr>
          <w:p w:rsidR="00AF330E" w:rsidRPr="00AF330E" w:rsidRDefault="00AF330E" w:rsidP="00AF330E">
            <w:pPr>
              <w:rPr>
                <w:rFonts w:ascii="Arial" w:hAnsi="Arial" w:cs="Arial"/>
                <w:sz w:val="16"/>
                <w:szCs w:val="16"/>
                <w:lang w:val="en-AU"/>
              </w:rPr>
            </w:pPr>
          </w:p>
        </w:tc>
        <w:tc>
          <w:tcPr>
            <w:tcW w:w="344" w:type="dxa"/>
            <w:shd w:val="clear" w:color="auto" w:fill="FF0000"/>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344"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C000"/>
          </w:tcPr>
          <w:p w:rsidR="00AF330E" w:rsidRPr="00AF330E" w:rsidRDefault="00AF330E" w:rsidP="00AF330E">
            <w:pPr>
              <w:rPr>
                <w:rFonts w:ascii="Arial" w:hAnsi="Arial" w:cs="Arial"/>
                <w:sz w:val="16"/>
                <w:szCs w:val="16"/>
                <w:lang w:val="en-AU"/>
              </w:rPr>
            </w:pPr>
          </w:p>
        </w:tc>
        <w:tc>
          <w:tcPr>
            <w:tcW w:w="441" w:type="dxa"/>
            <w:shd w:val="clear" w:color="auto" w:fill="FF0000"/>
          </w:tcPr>
          <w:p w:rsidR="00AF330E" w:rsidRPr="00AF330E" w:rsidRDefault="00AF330E" w:rsidP="00AF330E">
            <w:pPr>
              <w:rPr>
                <w:rFonts w:ascii="Arial" w:hAnsi="Arial" w:cs="Arial"/>
                <w:sz w:val="16"/>
                <w:szCs w:val="16"/>
                <w:lang w:val="en-AU"/>
              </w:rPr>
            </w:pPr>
          </w:p>
        </w:tc>
        <w:tc>
          <w:tcPr>
            <w:tcW w:w="441" w:type="dxa"/>
            <w:shd w:val="clear" w:color="auto" w:fill="FF0000"/>
          </w:tcPr>
          <w:p w:rsidR="00AF330E" w:rsidRPr="00AF330E" w:rsidRDefault="00AF330E" w:rsidP="00AF330E">
            <w:pPr>
              <w:rPr>
                <w:rFonts w:ascii="Arial" w:hAnsi="Arial" w:cs="Arial"/>
                <w:sz w:val="16"/>
                <w:szCs w:val="16"/>
                <w:lang w:val="en-AU"/>
              </w:rPr>
            </w:pPr>
          </w:p>
        </w:tc>
      </w:tr>
    </w:tbl>
    <w:p w:rsidR="007E50AE" w:rsidRDefault="007E50AE" w:rsidP="00000120">
      <w:pPr>
        <w:rPr>
          <w:lang w:val="en-AU"/>
        </w:rPr>
      </w:pPr>
      <w:r w:rsidRPr="007E50AE">
        <w:rPr>
          <w:lang w:val="en-AU"/>
        </w:rPr>
        <w:t xml:space="preserve">I plan to go on site from the 2/06/2013 until the </w:t>
      </w:r>
      <w:r w:rsidR="00AF330E">
        <w:rPr>
          <w:lang w:val="en-AU"/>
        </w:rPr>
        <w:t>16/06/2013. The following table summarise the people present at CEH (in green) and the need for help from CEH (technical support in red and surveillance in orange).</w:t>
      </w:r>
    </w:p>
    <w:p w:rsidR="00AF330E" w:rsidRDefault="00AF330E" w:rsidP="00000120">
      <w:pPr>
        <w:rPr>
          <w:lang w:val="en-AU"/>
        </w:rPr>
      </w:pPr>
      <w:r>
        <w:rPr>
          <w:lang w:val="en-AU"/>
        </w:rPr>
        <w:t xml:space="preserve">The </w:t>
      </w:r>
      <w:proofErr w:type="spellStart"/>
      <w:r>
        <w:rPr>
          <w:lang w:val="en-AU"/>
        </w:rPr>
        <w:t>combinaison</w:t>
      </w:r>
      <w:proofErr w:type="spellEnd"/>
      <w:r>
        <w:rPr>
          <w:lang w:val="en-AU"/>
        </w:rPr>
        <w:t xml:space="preserve"> of green and orange identified the time period when, depending on the state of the instrument, it may run alone with the responsible person (Marie </w:t>
      </w:r>
      <w:proofErr w:type="spellStart"/>
      <w:r>
        <w:rPr>
          <w:lang w:val="en-AU"/>
        </w:rPr>
        <w:t>laborde</w:t>
      </w:r>
      <w:proofErr w:type="spellEnd"/>
      <w:r>
        <w:rPr>
          <w:lang w:val="en-AU"/>
        </w:rPr>
        <w:t xml:space="preserve"> and Alex </w:t>
      </w:r>
      <w:proofErr w:type="spellStart"/>
      <w:r>
        <w:rPr>
          <w:lang w:val="en-AU"/>
        </w:rPr>
        <w:t>Vermuelen</w:t>
      </w:r>
      <w:proofErr w:type="spellEnd"/>
      <w:r>
        <w:rPr>
          <w:lang w:val="en-AU"/>
        </w:rPr>
        <w:t>) checking it remotely.</w:t>
      </w:r>
    </w:p>
    <w:p w:rsidR="00AF330E" w:rsidRPr="007E50AE" w:rsidRDefault="00AF330E" w:rsidP="00000120">
      <w:pPr>
        <w:rPr>
          <w:lang w:val="en-AU"/>
        </w:rPr>
      </w:pPr>
    </w:p>
    <w:p w:rsidR="00861515" w:rsidRDefault="00861515" w:rsidP="00F20757">
      <w:pPr>
        <w:pStyle w:val="ListParagraph"/>
        <w:ind w:left="360"/>
      </w:pPr>
    </w:p>
    <w:p w:rsidR="00DF6D3C" w:rsidRDefault="00DF6D3C" w:rsidP="00F20757">
      <w:pPr>
        <w:pStyle w:val="ListParagraph"/>
        <w:ind w:left="360"/>
      </w:pPr>
      <w:r>
        <w:t xml:space="preserve">The travel expense claimed includes the travel to </w:t>
      </w:r>
      <w:proofErr w:type="gramStart"/>
      <w:r>
        <w:t>Amsterdam</w:t>
      </w:r>
      <w:r w:rsidR="00941610">
        <w:t xml:space="preserve">  (</w:t>
      </w:r>
      <w:proofErr w:type="gramEnd"/>
      <w:r w:rsidR="00941610">
        <w:t>~100euros)</w:t>
      </w:r>
      <w:r>
        <w:t xml:space="preserve"> from Zurich for the initial setup and the travel to Edinburgh</w:t>
      </w:r>
      <w:r w:rsidR="00941610">
        <w:t xml:space="preserve"> (150Euros)</w:t>
      </w:r>
      <w:r>
        <w:t xml:space="preserve"> for the campaign along with </w:t>
      </w:r>
      <w:r w:rsidR="00941610">
        <w:t>the daily allowance of 50 euros covering part of the hotel and food</w:t>
      </w:r>
      <w:r>
        <w:t>.</w:t>
      </w:r>
    </w:p>
    <w:p w:rsidR="00DF6D3C" w:rsidRPr="00861515" w:rsidRDefault="00DF6D3C" w:rsidP="00F20757">
      <w:pPr>
        <w:pStyle w:val="ListParagraph"/>
        <w:ind w:left="360"/>
        <w:rPr>
          <w:b/>
        </w:rPr>
      </w:pPr>
    </w:p>
    <w:p w:rsidR="00861515" w:rsidRDefault="00861515" w:rsidP="005515B2">
      <w:pPr>
        <w:pStyle w:val="ListParagraph"/>
        <w:numPr>
          <w:ilvl w:val="0"/>
          <w:numId w:val="2"/>
        </w:numPr>
        <w:ind w:left="360"/>
        <w:rPr>
          <w:b/>
        </w:rPr>
      </w:pPr>
      <w:r>
        <w:rPr>
          <w:b/>
        </w:rPr>
        <w:t>Expected results and possible risks</w:t>
      </w:r>
    </w:p>
    <w:p w:rsidR="00941610" w:rsidRDefault="00941610" w:rsidP="00941610">
      <w:r>
        <w:t xml:space="preserve">As previously mentioned, the results from this </w:t>
      </w:r>
      <w:proofErr w:type="spellStart"/>
      <w:r>
        <w:t>intercomparison</w:t>
      </w:r>
      <w:proofErr w:type="spellEnd"/>
      <w:r>
        <w:t xml:space="preserve"> will allow</w:t>
      </w:r>
      <w:r w:rsidRPr="00941610">
        <w:t xml:space="preserve"> </w:t>
      </w:r>
      <w:r>
        <w:t xml:space="preserve">the non-CO2 </w:t>
      </w:r>
      <w:proofErr w:type="spellStart"/>
      <w:r>
        <w:t>greehouse</w:t>
      </w:r>
      <w:proofErr w:type="spellEnd"/>
      <w:r>
        <w:t xml:space="preserve"> gases community to assess the accuracy, the repeatability, the robustness but also the limitations of the </w:t>
      </w:r>
      <w:proofErr w:type="spellStart"/>
      <w:r>
        <w:t>Spectronus</w:t>
      </w:r>
      <w:proofErr w:type="spellEnd"/>
      <w:r>
        <w:t xml:space="preserve"> trace gas </w:t>
      </w:r>
      <w:proofErr w:type="spellStart"/>
      <w:r>
        <w:t>analyser</w:t>
      </w:r>
      <w:proofErr w:type="spellEnd"/>
      <w:r>
        <w:t xml:space="preserve">. The results of this </w:t>
      </w:r>
      <w:proofErr w:type="spellStart"/>
      <w:r>
        <w:t>intercomparison</w:t>
      </w:r>
      <w:proofErr w:type="spellEnd"/>
      <w:r>
        <w:t xml:space="preserve"> are also therefore important for the community in order to compare results from different publications, using different techniques.</w:t>
      </w:r>
    </w:p>
    <w:p w:rsidR="00941610" w:rsidRDefault="00941610" w:rsidP="00941610"/>
    <w:p w:rsidR="00941610" w:rsidRDefault="00941610" w:rsidP="00941610">
      <w:r>
        <w:t xml:space="preserve">This </w:t>
      </w:r>
      <w:proofErr w:type="spellStart"/>
      <w:r>
        <w:t>intercomparison</w:t>
      </w:r>
      <w:proofErr w:type="spellEnd"/>
      <w:r>
        <w:t xml:space="preserve"> </w:t>
      </w:r>
      <w:r w:rsidR="00260A7E">
        <w:t>will</w:t>
      </w:r>
      <w:r>
        <w:t xml:space="preserve"> also help the INGOS community in achieving one of its goals: optimizing and standardizing the measurement of N2O.</w:t>
      </w:r>
    </w:p>
    <w:p w:rsidR="00F20757" w:rsidRPr="00F20757" w:rsidRDefault="00F20757" w:rsidP="00941610"/>
    <w:p w:rsidR="00861515" w:rsidRPr="00861515" w:rsidRDefault="00861515" w:rsidP="00F20757">
      <w:pPr>
        <w:pStyle w:val="ListParagraph"/>
        <w:ind w:left="360"/>
        <w:rPr>
          <w:b/>
        </w:rPr>
      </w:pPr>
    </w:p>
    <w:p w:rsidR="00446697" w:rsidRDefault="00861515" w:rsidP="008E4F07">
      <w:pPr>
        <w:pStyle w:val="ListParagraph"/>
        <w:numPr>
          <w:ilvl w:val="0"/>
          <w:numId w:val="2"/>
        </w:numPr>
        <w:ind w:left="360"/>
      </w:pPr>
      <w:r>
        <w:rPr>
          <w:b/>
        </w:rPr>
        <w:t>Key literature</w:t>
      </w:r>
    </w:p>
    <w:p w:rsidR="008E4F07" w:rsidRDefault="008E4F07" w:rsidP="008E4F07">
      <w:r>
        <w:t xml:space="preserve">S. K. Jones et al.: Nitrous oxide emissions from managed grassland: a comparison of eddy covariance and static chamber measurements. </w:t>
      </w:r>
      <w:r w:rsidRPr="008E4F07">
        <w:t>Atmos. Meas. Tech., 4, 2179–2194, 2011</w:t>
      </w:r>
    </w:p>
    <w:p w:rsidR="008E4F07" w:rsidRDefault="008E4F07" w:rsidP="008E4F07"/>
    <w:p w:rsidR="001C1BB9" w:rsidRPr="001C1BB9" w:rsidRDefault="001C1BB9" w:rsidP="001C1BB9">
      <w:pPr>
        <w:autoSpaceDE w:val="0"/>
        <w:autoSpaceDN w:val="0"/>
        <w:adjustRightInd w:val="0"/>
      </w:pPr>
      <w:r w:rsidRPr="001C1BB9">
        <w:t>J. T. Houghton, Y. Ding, D. J. Griggs, M. Noguer, P. J. van der Linden, X. Dai,</w:t>
      </w:r>
    </w:p>
    <w:p w:rsidR="001C1BB9" w:rsidRPr="001C1BB9" w:rsidRDefault="001C1BB9" w:rsidP="001C1BB9">
      <w:pPr>
        <w:autoSpaceDE w:val="0"/>
        <w:autoSpaceDN w:val="0"/>
        <w:adjustRightInd w:val="0"/>
      </w:pPr>
      <w:r w:rsidRPr="001C1BB9">
        <w:t xml:space="preserve">K. </w:t>
      </w:r>
      <w:proofErr w:type="spellStart"/>
      <w:r w:rsidRPr="001C1BB9">
        <w:t>Maskell</w:t>
      </w:r>
      <w:proofErr w:type="spellEnd"/>
      <w:r w:rsidRPr="001C1BB9">
        <w:t>, and C. A. Johnson, editors. Intergovernmental Panel on Climate Change:</w:t>
      </w:r>
    </w:p>
    <w:p w:rsidR="001C1BB9" w:rsidRPr="001C1BB9" w:rsidRDefault="001C1BB9" w:rsidP="001C1BB9">
      <w:pPr>
        <w:autoSpaceDE w:val="0"/>
        <w:autoSpaceDN w:val="0"/>
        <w:adjustRightInd w:val="0"/>
      </w:pPr>
      <w:r w:rsidRPr="001C1BB9">
        <w:t xml:space="preserve">Climate Change 2001: The </w:t>
      </w:r>
      <w:proofErr w:type="spellStart"/>
      <w:r w:rsidRPr="001C1BB9">
        <w:t>Scienti_c</w:t>
      </w:r>
      <w:proofErr w:type="spellEnd"/>
      <w:r w:rsidRPr="001C1BB9">
        <w:t xml:space="preserve"> Basis: Contribution of Working Group I to the</w:t>
      </w:r>
    </w:p>
    <w:p w:rsidR="001C1BB9" w:rsidRPr="001C1BB9" w:rsidRDefault="001C1BB9" w:rsidP="001C1BB9">
      <w:pPr>
        <w:autoSpaceDE w:val="0"/>
        <w:autoSpaceDN w:val="0"/>
        <w:adjustRightInd w:val="0"/>
      </w:pPr>
      <w:proofErr w:type="gramStart"/>
      <w:r w:rsidRPr="001C1BB9">
        <w:t>Third Assessment Report of the Intergovernmental Panel on Climate Change.</w:t>
      </w:r>
      <w:proofErr w:type="gramEnd"/>
      <w:r w:rsidRPr="001C1BB9">
        <w:t xml:space="preserve"> </w:t>
      </w:r>
      <w:proofErr w:type="spellStart"/>
      <w:r w:rsidRPr="001C1BB9">
        <w:t>Alphascript</w:t>
      </w:r>
      <w:proofErr w:type="spellEnd"/>
    </w:p>
    <w:p w:rsidR="001C1BB9" w:rsidRPr="001C1BB9" w:rsidRDefault="001C1BB9" w:rsidP="001C1BB9">
      <w:pPr>
        <w:autoSpaceDE w:val="0"/>
        <w:autoSpaceDN w:val="0"/>
        <w:adjustRightInd w:val="0"/>
      </w:pPr>
      <w:proofErr w:type="gramStart"/>
      <w:r w:rsidRPr="001C1BB9">
        <w:t>Publishing, 2001.</w:t>
      </w:r>
      <w:proofErr w:type="gramEnd"/>
      <w:r w:rsidRPr="001C1BB9">
        <w:t xml:space="preserve"> </w:t>
      </w:r>
      <w:proofErr w:type="gramStart"/>
      <w:r w:rsidRPr="001C1BB9">
        <w:t>ISBN 6130051670.</w:t>
      </w:r>
      <w:proofErr w:type="gramEnd"/>
      <w:r w:rsidRPr="001C1BB9">
        <w:t xml:space="preserve"> URL http://www.worldcat.org/isbn/</w:t>
      </w:r>
    </w:p>
    <w:p w:rsidR="008E4F07" w:rsidRDefault="001C1BB9" w:rsidP="001C1BB9">
      <w:r w:rsidRPr="001C1BB9">
        <w:t>6130051670.</w:t>
      </w:r>
    </w:p>
    <w:sectPr w:rsidR="008E4F07" w:rsidSect="004274C0">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0E" w:rsidRDefault="00377D0E" w:rsidP="00446697">
      <w:r>
        <w:separator/>
      </w:r>
    </w:p>
  </w:endnote>
  <w:endnote w:type="continuationSeparator" w:id="0">
    <w:p w:rsidR="00377D0E" w:rsidRDefault="00377D0E"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583D9D">
      <w:fldChar w:fldCharType="begin"/>
    </w:r>
    <w:r w:rsidR="00583D9D">
      <w:instrText xml:space="preserve"> PAGE    \* MERGEFORMAT </w:instrText>
    </w:r>
    <w:r w:rsidR="00583D9D">
      <w:fldChar w:fldCharType="separate"/>
    </w:r>
    <w:r w:rsidR="002B111B">
      <w:rPr>
        <w:noProof/>
      </w:rPr>
      <w:t>2</w:t>
    </w:r>
    <w:r w:rsidR="00583D9D">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0E" w:rsidRDefault="00377D0E" w:rsidP="00446697">
      <w:r>
        <w:separator/>
      </w:r>
    </w:p>
  </w:footnote>
  <w:footnote w:type="continuationSeparator" w:id="0">
    <w:p w:rsidR="00377D0E" w:rsidRDefault="00377D0E"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Header"/>
      <w:jc w:val="right"/>
    </w:pPr>
    <w:r>
      <w:rPr>
        <w:noProof/>
        <w:lang w:val="en-AU" w:eastAsia="en-AU"/>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4642C"/>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00120"/>
    <w:rsid w:val="000D1BA8"/>
    <w:rsid w:val="001C1BB9"/>
    <w:rsid w:val="001D41D7"/>
    <w:rsid w:val="00260A7E"/>
    <w:rsid w:val="002B111B"/>
    <w:rsid w:val="002D14E9"/>
    <w:rsid w:val="0032758B"/>
    <w:rsid w:val="00377D0E"/>
    <w:rsid w:val="003B6172"/>
    <w:rsid w:val="004007C4"/>
    <w:rsid w:val="004274C0"/>
    <w:rsid w:val="00446697"/>
    <w:rsid w:val="0047651A"/>
    <w:rsid w:val="00497408"/>
    <w:rsid w:val="004C1E99"/>
    <w:rsid w:val="00516BDD"/>
    <w:rsid w:val="005515B2"/>
    <w:rsid w:val="005634C3"/>
    <w:rsid w:val="00566CB9"/>
    <w:rsid w:val="00583D9D"/>
    <w:rsid w:val="005F0316"/>
    <w:rsid w:val="006517B3"/>
    <w:rsid w:val="00686164"/>
    <w:rsid w:val="006A223B"/>
    <w:rsid w:val="007348CC"/>
    <w:rsid w:val="00770F2C"/>
    <w:rsid w:val="007E50AE"/>
    <w:rsid w:val="00847C45"/>
    <w:rsid w:val="00861515"/>
    <w:rsid w:val="00861830"/>
    <w:rsid w:val="008750FA"/>
    <w:rsid w:val="008821A1"/>
    <w:rsid w:val="00893C61"/>
    <w:rsid w:val="00894F60"/>
    <w:rsid w:val="008D6FD8"/>
    <w:rsid w:val="008E4F07"/>
    <w:rsid w:val="00941610"/>
    <w:rsid w:val="00980455"/>
    <w:rsid w:val="009C0F71"/>
    <w:rsid w:val="00A12AEF"/>
    <w:rsid w:val="00A77BFA"/>
    <w:rsid w:val="00AA5F78"/>
    <w:rsid w:val="00AF330E"/>
    <w:rsid w:val="00B26202"/>
    <w:rsid w:val="00B74680"/>
    <w:rsid w:val="00BC199F"/>
    <w:rsid w:val="00BE06BB"/>
    <w:rsid w:val="00BE4563"/>
    <w:rsid w:val="00C34DF8"/>
    <w:rsid w:val="00CA42B3"/>
    <w:rsid w:val="00CC1D98"/>
    <w:rsid w:val="00CD4EFD"/>
    <w:rsid w:val="00CF1EF9"/>
    <w:rsid w:val="00CF7137"/>
    <w:rsid w:val="00DF51D9"/>
    <w:rsid w:val="00DF6D3C"/>
    <w:rsid w:val="00E05013"/>
    <w:rsid w:val="00E63782"/>
    <w:rsid w:val="00E72258"/>
    <w:rsid w:val="00E91440"/>
    <w:rsid w:val="00EA29AC"/>
    <w:rsid w:val="00EB0106"/>
    <w:rsid w:val="00F20757"/>
    <w:rsid w:val="00F4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3B6172"/>
    <w:rPr>
      <w:color w:val="0000FF" w:themeColor="hyperlink"/>
      <w:u w:val="single"/>
    </w:rPr>
  </w:style>
  <w:style w:type="character" w:customStyle="1" w:styleId="apple-converted-space">
    <w:name w:val="apple-converted-space"/>
    <w:basedOn w:val="DefaultParagraphFont"/>
    <w:rsid w:val="009C0F71"/>
  </w:style>
  <w:style w:type="paragraph" w:styleId="Caption">
    <w:name w:val="caption"/>
    <w:basedOn w:val="Normal"/>
    <w:next w:val="Normal"/>
    <w:unhideWhenUsed/>
    <w:qFormat/>
    <w:rsid w:val="00894F60"/>
    <w:pPr>
      <w:spacing w:after="200"/>
    </w:pPr>
    <w:rPr>
      <w:b/>
      <w:bCs/>
      <w:color w:val="4F81BD" w:themeColor="accent1"/>
      <w:sz w:val="18"/>
      <w:szCs w:val="18"/>
    </w:rPr>
  </w:style>
  <w:style w:type="table" w:styleId="TableGrid">
    <w:name w:val="Table Grid"/>
    <w:basedOn w:val="TableNormal"/>
    <w:rsid w:val="00000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3B6172"/>
    <w:rPr>
      <w:color w:val="0000FF" w:themeColor="hyperlink"/>
      <w:u w:val="single"/>
    </w:rPr>
  </w:style>
  <w:style w:type="character" w:customStyle="1" w:styleId="apple-converted-space">
    <w:name w:val="apple-converted-space"/>
    <w:basedOn w:val="DefaultParagraphFont"/>
    <w:rsid w:val="009C0F71"/>
  </w:style>
  <w:style w:type="paragraph" w:styleId="Caption">
    <w:name w:val="caption"/>
    <w:basedOn w:val="Normal"/>
    <w:next w:val="Normal"/>
    <w:unhideWhenUsed/>
    <w:qFormat/>
    <w:rsid w:val="00894F60"/>
    <w:pPr>
      <w:spacing w:after="200"/>
    </w:pPr>
    <w:rPr>
      <w:b/>
      <w:bCs/>
      <w:color w:val="4F81BD" w:themeColor="accent1"/>
      <w:sz w:val="18"/>
      <w:szCs w:val="18"/>
    </w:rPr>
  </w:style>
  <w:style w:type="table" w:styleId="TableGrid">
    <w:name w:val="Table Grid"/>
    <w:basedOn w:val="TableNormal"/>
    <w:rsid w:val="00000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aborde@aerosolconsulting.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Marie LaBorde</cp:lastModifiedBy>
  <cp:revision>29</cp:revision>
  <dcterms:created xsi:type="dcterms:W3CDTF">2013-04-12T10:33:00Z</dcterms:created>
  <dcterms:modified xsi:type="dcterms:W3CDTF">2013-04-12T16:51:00Z</dcterms:modified>
</cp:coreProperties>
</file>