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7" w:rsidRPr="004007C4" w:rsidRDefault="00446697" w:rsidP="00446697">
      <w:pPr>
        <w:pStyle w:val="Heading1"/>
        <w:rPr>
          <w:rFonts w:ascii="Trebuchet MS" w:hAnsi="Trebuchet MS"/>
        </w:rPr>
      </w:pPr>
      <w:r w:rsidRPr="004007C4">
        <w:rPr>
          <w:rFonts w:ascii="Trebuchet MS" w:hAnsi="Trebuchet MS"/>
        </w:rPr>
        <w:t>InGOS – Integrated non-CO</w:t>
      </w:r>
      <w:r w:rsidRPr="004007C4">
        <w:rPr>
          <w:rFonts w:ascii="Trebuchet MS" w:hAnsi="Trebuchet MS"/>
          <w:vertAlign w:val="subscript"/>
        </w:rPr>
        <w:t>2</w:t>
      </w:r>
      <w:r w:rsidR="00CD4EFD" w:rsidRPr="004007C4">
        <w:rPr>
          <w:rFonts w:ascii="Trebuchet MS" w:hAnsi="Trebuchet MS"/>
        </w:rPr>
        <w:t xml:space="preserve"> Observing S</w:t>
      </w:r>
      <w:r w:rsidRPr="004007C4">
        <w:rPr>
          <w:rFonts w:ascii="Trebuchet MS" w:hAnsi="Trebuchet MS"/>
        </w:rPr>
        <w:t>ystem</w:t>
      </w:r>
    </w:p>
    <w:p w:rsidR="00446697" w:rsidRDefault="00446697"/>
    <w:p w:rsidR="00CD4EFD" w:rsidRDefault="00446697">
      <w:r>
        <w:t>Detailed workplan</w:t>
      </w:r>
      <w:r w:rsidR="00F45FF8">
        <w:t>, appendix to the online application</w:t>
      </w:r>
      <w:r w:rsidR="004274C0">
        <w:t xml:space="preserve">. </w:t>
      </w:r>
      <w:r>
        <w:t xml:space="preserve">Request for </w:t>
      </w:r>
      <w:r w:rsidR="005634C3">
        <w:t>access to an infrastructure (TNA1)</w:t>
      </w:r>
      <w:r w:rsidR="004274C0">
        <w:t xml:space="preserve">. </w:t>
      </w:r>
    </w:p>
    <w:p w:rsidR="00861515" w:rsidRDefault="00861515"/>
    <w:p w:rsidR="00CD4EFD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Project name (acronym), name and contact information of the researcher</w:t>
      </w:r>
      <w:r w:rsidR="00F20757">
        <w:rPr>
          <w:b/>
        </w:rPr>
        <w:t>(s)</w:t>
      </w:r>
      <w:r>
        <w:rPr>
          <w:b/>
        </w:rPr>
        <w:t>, duration of the project (dates, number of working days)</w:t>
      </w:r>
      <w:r w:rsidR="00E05013">
        <w:rPr>
          <w:b/>
        </w:rPr>
        <w:t>, type and name of the infrastructure requested</w:t>
      </w:r>
    </w:p>
    <w:p w:rsidR="00CA1B5A" w:rsidRDefault="00CA1B5A" w:rsidP="00177980">
      <w:r>
        <w:t>Acronym: InGOS-N</w:t>
      </w:r>
      <w:r w:rsidRPr="00177980">
        <w:rPr>
          <w:vertAlign w:val="subscript"/>
        </w:rPr>
        <w:t>2</w:t>
      </w:r>
      <w:r>
        <w:t>O</w:t>
      </w:r>
      <w:r w:rsidR="00177980">
        <w:t>-EB</w:t>
      </w:r>
      <w:r>
        <w:t xml:space="preserve">-DK (InGOS N2O-Flux inter-comparison </w:t>
      </w:r>
      <w:r w:rsidR="00177980">
        <w:t xml:space="preserve">Easterbush </w:t>
      </w:r>
      <w:r>
        <w:t>Campaign Denmark)</w:t>
      </w:r>
    </w:p>
    <w:p w:rsidR="00CA1B5A" w:rsidRDefault="00CA1B5A" w:rsidP="00CA1B5A">
      <w:r>
        <w:t>Name of the Researcher</w:t>
      </w:r>
      <w:r w:rsidR="000E7C9A">
        <w:t>s</w:t>
      </w:r>
      <w:r>
        <w:t>: Andreas Ibrom</w:t>
      </w:r>
      <w:r w:rsidR="000E7C9A">
        <w:t xml:space="preserve"> and Per Ambus</w:t>
      </w:r>
    </w:p>
    <w:p w:rsidR="00CA1B5A" w:rsidRDefault="00CA1B5A" w:rsidP="00CA1B5A">
      <w:r>
        <w:t>Contact: Technical University of Denmark (DTU), Risø Campus, Frederiksborgvej 399, DK-4000 Roskilde, Denmark.</w:t>
      </w:r>
    </w:p>
    <w:p w:rsidR="00CA1B5A" w:rsidRPr="00CA1B5A" w:rsidRDefault="00CA1B5A" w:rsidP="00CA1B5A">
      <w:r>
        <w:t>Email: anib@kt.dtu.dk , telephone: ++4521325201</w:t>
      </w:r>
    </w:p>
    <w:p w:rsidR="00861515" w:rsidRDefault="00861515" w:rsidP="00F20757">
      <w:pPr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Background</w:t>
      </w:r>
    </w:p>
    <w:p w:rsidR="00861515" w:rsidRDefault="00861515" w:rsidP="00724690">
      <w:pPr>
        <w:pStyle w:val="ListParagraph"/>
        <w:numPr>
          <w:ilvl w:val="1"/>
          <w:numId w:val="1"/>
        </w:numPr>
      </w:pPr>
      <w:r w:rsidRPr="00F20757">
        <w:t>Significance of the research</w:t>
      </w:r>
    </w:p>
    <w:p w:rsidR="00724690" w:rsidRDefault="00CA1B5A" w:rsidP="00177980">
      <w:r>
        <w:t>Industrial and agricultural greenhouse gas (GHG) emissions increase the downward flux</w:t>
      </w:r>
      <w:r w:rsidR="00724690">
        <w:t>es</w:t>
      </w:r>
      <w:r>
        <w:t xml:space="preserve"> of thermal radiation and thereby the temperature of the l</w:t>
      </w:r>
      <w:r w:rsidR="00724690">
        <w:t xml:space="preserve">ower boundary of the atmosphere with unforeseen consequences for terrestrial ecosystems and human living conditions. </w:t>
      </w:r>
      <w:r>
        <w:t xml:space="preserve"> </w:t>
      </w:r>
      <w:r w:rsidR="00724690">
        <w:t xml:space="preserve">While the research focus has been on CO2, the main contributor to anthropogenic warming, the non-CO2 greenhouse gasses CH4 and N2O have been under researched.  Because of its higher radiative efficiency and the longer atmospheric residence time, N2O is a much more powerful greenhouse gas than CO2. A unit mass N2O release has ca. 300 times the impact on the greenhouse effect than  a unit mass </w:t>
      </w:r>
      <w:r w:rsidR="00177980">
        <w:t xml:space="preserve">emitted </w:t>
      </w:r>
      <w:r w:rsidR="00724690">
        <w:t xml:space="preserve">CO2 given a 50 year time horizon </w:t>
      </w:r>
      <w:r w:rsidR="00177980">
        <w:t xml:space="preserve"> </w:t>
      </w:r>
      <w:r w:rsidR="00724690">
        <w:fldChar w:fldCharType="begin"/>
      </w:r>
      <w:r w:rsidR="00724690">
        <w:instrText xml:space="preserve"> ADDIN EN.CITE &lt;EndNote&gt;&lt;Cite&gt;&lt;Author&gt;Solomon&lt;/Author&gt;&lt;Year&gt;2007&lt;/Year&gt;&lt;RecNum&gt;1854&lt;/RecNum&gt;&lt;DisplayText&gt;(Solomon et al., 2007)&lt;/DisplayText&gt;&lt;record&gt;&lt;rec-number&gt;1854&lt;/rec-number&gt;&lt;foreign-keys&gt;&lt;key app="EN" db-id="d9p220p0aetstle5rrtps2wfep9stpd2xap5"&gt;1854&lt;/key&gt;&lt;/foreign-keys&gt;&lt;ref-type name="Book"&gt;6&lt;/ref-type&gt;&lt;contributors&gt;&lt;authors&gt;&lt;author&gt;Solomon, S., &lt;/author&gt;&lt;author&gt;D. Qin, &lt;/author&gt;&lt;author&gt;Manning, M. &lt;/author&gt;&lt;author&gt;Chen, Z. &lt;/author&gt;&lt;author&gt;Marquis, M. &lt;/author&gt;&lt;author&gt;Averyt, K.B.  &lt;/author&gt;&lt;author&gt;Tignor, M.&lt;/author&gt;&lt;author&gt;Miller, H.L.&lt;/author&gt;&lt;/authors&gt;&lt;/contributors&gt;&lt;titles&gt;&lt;title&gt;Climate Change 2007: The Physical Science Basis. Contribution of  working Group I to the Fourth Assessment Report of the Intergovernmental Panel on Climate Change&lt;/title&gt;&lt;/titles&gt;&lt;pages&gt;987&lt;/pages&gt;&lt;keywords&gt;&lt;keyword&gt;Global change&lt;/keyword&gt;&lt;/keywords&gt;&lt;dates&gt;&lt;year&gt;2007&lt;/year&gt;&lt;/dates&gt;&lt;pub-location&gt;Cambridge, United Kingdom and New York, NY, USA.&lt;/pub-location&gt;&lt;publisher&gt;Cambridge University Press&lt;/publisher&gt;&lt;urls&gt;&lt;related-urls&gt;&lt;url&gt;C:\u\anib\Literatur\climate change\IPCC\2007\AR4\IPCC WG1 AR4 Final Report.htm&lt;/url&gt;&lt;/related-urls&gt;&lt;/urls&gt;&lt;/record&gt;&lt;/Cite&gt;&lt;/EndNote&gt;</w:instrText>
      </w:r>
      <w:r w:rsidR="00724690">
        <w:fldChar w:fldCharType="separate"/>
      </w:r>
      <w:r w:rsidR="00724690">
        <w:rPr>
          <w:noProof/>
        </w:rPr>
        <w:t>(</w:t>
      </w:r>
      <w:hyperlink w:anchor="_ENREF_6" w:tooltip="Solomon, 2007 #1854" w:history="1">
        <w:r w:rsidR="00F07A8E">
          <w:rPr>
            <w:noProof/>
          </w:rPr>
          <w:t>Solomon et al., 2007</w:t>
        </w:r>
      </w:hyperlink>
      <w:r w:rsidR="00724690">
        <w:rPr>
          <w:noProof/>
        </w:rPr>
        <w:t>)</w:t>
      </w:r>
      <w:r w:rsidR="00724690">
        <w:fldChar w:fldCharType="end"/>
      </w:r>
      <w:r w:rsidR="00724690">
        <w:t>.</w:t>
      </w:r>
      <w:r w:rsidR="003E1DFB">
        <w:t xml:space="preserve"> </w:t>
      </w:r>
      <w:r w:rsidR="00177980">
        <w:t xml:space="preserve">In the period from </w:t>
      </w:r>
      <w:r w:rsidR="000E7C9A">
        <w:t>200</w:t>
      </w:r>
      <w:r w:rsidR="00177980">
        <w:t xml:space="preserve">0 to </w:t>
      </w:r>
      <w:r w:rsidR="000E7C9A">
        <w:t xml:space="preserve">2005 it was shown that </w:t>
      </w:r>
      <w:r w:rsidR="00177980">
        <w:t xml:space="preserve">the European agricultural </w:t>
      </w:r>
      <w:r w:rsidR="000E7C9A">
        <w:t>CH</w:t>
      </w:r>
      <w:r w:rsidR="000E7C9A" w:rsidRPr="00177980">
        <w:rPr>
          <w:vertAlign w:val="subscript"/>
        </w:rPr>
        <w:t>4</w:t>
      </w:r>
      <w:r w:rsidR="000E7C9A">
        <w:t xml:space="preserve"> and N</w:t>
      </w:r>
      <w:r w:rsidR="000E7C9A" w:rsidRPr="00177980">
        <w:rPr>
          <w:vertAlign w:val="subscript"/>
        </w:rPr>
        <w:t>2</w:t>
      </w:r>
      <w:r w:rsidR="000E7C9A">
        <w:t xml:space="preserve">O </w:t>
      </w:r>
      <w:r w:rsidR="00177980">
        <w:t xml:space="preserve">emissions </w:t>
      </w:r>
      <w:r w:rsidR="000E7C9A">
        <w:t xml:space="preserve">offset the </w:t>
      </w:r>
      <w:r w:rsidR="00177980">
        <w:t xml:space="preserve">entire </w:t>
      </w:r>
      <w:r w:rsidR="000E7C9A">
        <w:t xml:space="preserve">CO2 sequestration by the European terrestrial ecosystems </w:t>
      </w:r>
      <w:r w:rsidR="003E1DFB">
        <w:fldChar w:fldCharType="begin"/>
      </w:r>
      <w:r w:rsidR="003E1DFB">
        <w:instrText xml:space="preserve"> ADDIN EN.CITE &lt;EndNote&gt;&lt;Cite&gt;&lt;Author&gt;Schulze&lt;/Author&gt;&lt;Year&gt;2009&lt;/Year&gt;&lt;RecNum&gt;2836&lt;/RecNum&gt;&lt;DisplayText&gt;(Schulze et al., 2009)&lt;/DisplayText&gt;&lt;record&gt;&lt;rec-number&gt;2836&lt;/rec-number&gt;&lt;foreign-keys&gt;&lt;key app="EN" db-id="d9p220p0aetstle5rrtps2wfep9stpd2xap5"&gt;2836&lt;/key&gt;&lt;/foreign-keys&gt;&lt;ref-type name="Journal Article"&gt;17&lt;/ref-type&gt;&lt;contributors&gt;&lt;authors&gt;&lt;author&gt;Schulze, ED&lt;/author&gt;&lt;author&gt;Luyssaert, Sebastiaan&lt;/author&gt;&lt;author&gt;Ciais, P&lt;/author&gt;&lt;author&gt;Freibauer, A&lt;/author&gt;&lt;author&gt;Janssens, IA&lt;/author&gt;&lt;/authors&gt;&lt;/contributors&gt;&lt;titles&gt;&lt;title&gt;Importance of methane and nitrous oxide for Europe&amp;apos;s terrestrial greenhouse-gas balance&lt;/title&gt;&lt;secondary-title&gt;Nature Geoscience&lt;/secondary-title&gt;&lt;/titles&gt;&lt;periodical&gt;&lt;full-title&gt;Nature Geoscience&lt;/full-title&gt;&lt;/periodical&gt;&lt;pages&gt;842-850&lt;/pages&gt;&lt;volume&gt;2&lt;/volume&gt;&lt;number&gt;12&lt;/number&gt;&lt;dates&gt;&lt;year&gt;2009&lt;/year&gt;&lt;/dates&gt;&lt;isbn&gt;1752-0894&lt;/isbn&gt;&lt;urls&gt;&lt;/urls&gt;&lt;/record&gt;&lt;/Cite&gt;&lt;/EndNote&gt;</w:instrText>
      </w:r>
      <w:r w:rsidR="003E1DFB">
        <w:fldChar w:fldCharType="separate"/>
      </w:r>
      <w:r w:rsidR="003E1DFB">
        <w:rPr>
          <w:noProof/>
        </w:rPr>
        <w:t>(</w:t>
      </w:r>
      <w:hyperlink w:anchor="_ENREF_5" w:tooltip="Schulze, 2009 #2836" w:history="1">
        <w:r w:rsidR="00F07A8E">
          <w:rPr>
            <w:noProof/>
          </w:rPr>
          <w:t>Schulze et al., 2009</w:t>
        </w:r>
      </w:hyperlink>
      <w:r w:rsidR="003E1DFB">
        <w:rPr>
          <w:noProof/>
        </w:rPr>
        <w:t>)</w:t>
      </w:r>
      <w:r w:rsidR="003E1DFB">
        <w:fldChar w:fldCharType="end"/>
      </w:r>
      <w:r w:rsidR="000E7C9A">
        <w:t>; future prospects tend towards intensification of land use and increase of agricultural N</w:t>
      </w:r>
      <w:r w:rsidR="000E7C9A" w:rsidRPr="00177980">
        <w:rPr>
          <w:vertAlign w:val="subscript"/>
        </w:rPr>
        <w:t>2</w:t>
      </w:r>
      <w:r w:rsidR="000E7C9A">
        <w:t xml:space="preserve">O emissions. </w:t>
      </w:r>
    </w:p>
    <w:p w:rsidR="00724690" w:rsidRDefault="00724690" w:rsidP="00CA1B5A"/>
    <w:p w:rsidR="00724690" w:rsidRDefault="00861515" w:rsidP="00724690">
      <w:pPr>
        <w:pStyle w:val="ListParagraph"/>
        <w:numPr>
          <w:ilvl w:val="1"/>
          <w:numId w:val="1"/>
        </w:numPr>
        <w:ind w:left="1080"/>
      </w:pPr>
      <w:r w:rsidRPr="00F20757">
        <w:t>Previous research relevant to the topic and how the proposed project links to this</w:t>
      </w:r>
    </w:p>
    <w:p w:rsidR="00724690" w:rsidRPr="00F20757" w:rsidRDefault="00860996" w:rsidP="00177980">
      <w:r>
        <w:t>N</w:t>
      </w:r>
      <w:r w:rsidRPr="00177980">
        <w:rPr>
          <w:vertAlign w:val="subscript"/>
        </w:rPr>
        <w:t>2</w:t>
      </w:r>
      <w:r>
        <w:t>O fluxes from agricultural soils and low level crops can be measured with chambers</w:t>
      </w:r>
      <w:r w:rsidR="00005ED1">
        <w:t xml:space="preserve"> </w:t>
      </w:r>
      <w:r w:rsidR="00005ED1">
        <w:fldChar w:fldCharType="begin"/>
      </w:r>
      <w:r w:rsidR="00005ED1">
        <w:instrText xml:space="preserve"> ADDIN EN.CITE &lt;EndNote&gt;&lt;Cite&gt;&lt;Author&gt;Rafique&lt;/Author&gt;&lt;Year&gt;2011&lt;/Year&gt;&lt;RecNum&gt;2838&lt;/RecNum&gt;&lt;DisplayText&gt;(Rafique et al., 2011)&lt;/DisplayText&gt;&lt;record&gt;&lt;rec-number&gt;2838&lt;/rec-number&gt;&lt;foreign-keys&gt;&lt;key app="EN" db-id="d9p220p0aetstle5rrtps2wfep9stpd2xap5"&gt;2838&lt;/key&gt;&lt;/foreign-keys&gt;&lt;ref-type name="Journal Article"&gt;17&lt;/ref-type&gt;&lt;contributors&gt;&lt;authors&gt;&lt;author&gt;Rafique, Rashad&lt;/author&gt;&lt;author&gt;Hennessy, Deirdre&lt;/author&gt;&lt;author&gt;Kiely, Gerard&lt;/author&gt;&lt;/authors&gt;&lt;/contributors&gt;&lt;titles&gt;&lt;title&gt;Nitrous oxide emission from grazed grassland under different management systems&lt;/title&gt;&lt;secondary-title&gt;Ecosystems&lt;/secondary-title&gt;&lt;/titles&gt;&lt;periodical&gt;&lt;full-title&gt;Ecosystems&lt;/full-title&gt;&lt;/periodical&gt;&lt;pages&gt;563-582&lt;/pages&gt;&lt;volume&gt;14&lt;/volume&gt;&lt;number&gt;4&lt;/number&gt;&lt;keywords&gt;&lt;keyword&gt;N2O Fluxes&lt;/keyword&gt;&lt;keyword&gt;ecosystem chambers&lt;/keyword&gt;&lt;/keywords&gt;&lt;dates&gt;&lt;year&gt;2011&lt;/year&gt;&lt;/dates&gt;&lt;isbn&gt;1432-9840&lt;/isbn&gt;&lt;urls&gt;&lt;/urls&gt;&lt;/record&gt;&lt;/Cite&gt;&lt;/EndNote&gt;</w:instrText>
      </w:r>
      <w:r w:rsidR="00005ED1">
        <w:fldChar w:fldCharType="separate"/>
      </w:r>
      <w:r w:rsidR="00005ED1">
        <w:rPr>
          <w:noProof/>
        </w:rPr>
        <w:t>(</w:t>
      </w:r>
      <w:hyperlink w:anchor="_ENREF_4" w:tooltip="Rafique, 2011 #2838" w:history="1">
        <w:r w:rsidR="00F07A8E">
          <w:rPr>
            <w:noProof/>
          </w:rPr>
          <w:t>Rafique et al., 2011</w:t>
        </w:r>
      </w:hyperlink>
      <w:r w:rsidR="00005ED1">
        <w:rPr>
          <w:noProof/>
        </w:rPr>
        <w:t>)</w:t>
      </w:r>
      <w:r w:rsidR="00005ED1">
        <w:fldChar w:fldCharType="end"/>
      </w:r>
      <w:r>
        <w:t>. It was shown that the horizontal heterogeneity and the episodic nature of N</w:t>
      </w:r>
      <w:r w:rsidRPr="00177980">
        <w:rPr>
          <w:vertAlign w:val="subscript"/>
        </w:rPr>
        <w:t>2</w:t>
      </w:r>
      <w:r>
        <w:t>O fluxes require a large number of soil chambers to capture the flux</w:t>
      </w:r>
      <w:r w:rsidR="004F1CC9">
        <w:t xml:space="preserve"> </w:t>
      </w:r>
      <w:r w:rsidR="004F1CC9">
        <w:fldChar w:fldCharType="begin"/>
      </w:r>
      <w:r w:rsidR="004F1CC9">
        <w:instrText xml:space="preserve"> ADDIN EN.CITE &lt;EndNote&gt;&lt;Cite&gt;&lt;Author&gt;Jones&lt;/Author&gt;&lt;Year&gt;2011&lt;/Year&gt;&lt;RecNum&gt;2837&lt;/RecNum&gt;&lt;DisplayText&gt;(Jones et al., 2011)&lt;/DisplayText&gt;&lt;record&gt;&lt;rec-number&gt;2837&lt;/rec-number&gt;&lt;foreign-keys&gt;&lt;key app="EN" db-id="d9p220p0aetstle5rrtps2wfep9stpd2xap5"&gt;2837&lt;/key&gt;&lt;/foreign-keys&gt;&lt;ref-type name="Journal Article"&gt;17&lt;/ref-type&gt;&lt;contributors&gt;&lt;authors&gt;&lt;author&gt;Jones, S. K.&lt;/author&gt;&lt;author&gt;Famulari, D.&lt;/author&gt;&lt;author&gt;Di Marco, C. F.&lt;/author&gt;&lt;author&gt;Nemitz, E.&lt;/author&gt;&lt;author&gt;Skiba, U. M.&lt;/author&gt;&lt;author&gt;Rees, R. M.&lt;/author&gt;&lt;author&gt;Sutton, M. A.&lt;/author&gt;&lt;/authors&gt;&lt;/contributors&gt;&lt;titles&gt;&lt;title&gt;Nitrous oxide emissions from managed grassland: a comparison of eddy covariance and static chamber measurements&lt;/title&gt;&lt;secondary-title&gt;Atmos. Meas. Tech.&lt;/secondary-title&gt;&lt;/titles&gt;&lt;periodical&gt;&lt;full-title&gt;Atmos. Meas. Tech.&lt;/full-title&gt;&lt;/periodical&gt;&lt;pages&gt;2179-2194&lt;/pages&gt;&lt;volume&gt;4&lt;/volume&gt;&lt;number&gt;10&lt;/number&gt;&lt;dates&gt;&lt;year&gt;2011&lt;/year&gt;&lt;/dates&gt;&lt;publisher&gt;Copernicus Publications&lt;/publisher&gt;&lt;isbn&gt;1867-8548&lt;/isbn&gt;&lt;urls&gt;&lt;related-urls&gt;&lt;url&gt;http://www.atmos-meas-tech.net/4/2179/2011/&lt;/url&gt;&lt;url&gt;http://www.atmos-meas-tech.net/4/2179/2011/amt-4-2179-2011.pdf&lt;/url&gt;&lt;/related-urls&gt;&lt;/urls&gt;&lt;electronic-resource-num&gt;10.5194/amt-4-2179-2011&lt;/electronic-resource-num&gt;&lt;/record&gt;&lt;/Cite&gt;&lt;/EndNote&gt;</w:instrText>
      </w:r>
      <w:r w:rsidR="004F1CC9">
        <w:fldChar w:fldCharType="separate"/>
      </w:r>
      <w:r w:rsidR="004F1CC9">
        <w:rPr>
          <w:noProof/>
        </w:rPr>
        <w:t>(</w:t>
      </w:r>
      <w:hyperlink w:anchor="_ENREF_2" w:tooltip="Jones, 2011 #2837" w:history="1">
        <w:r w:rsidR="00F07A8E">
          <w:rPr>
            <w:noProof/>
          </w:rPr>
          <w:t>Jones et al., 2011</w:t>
        </w:r>
      </w:hyperlink>
      <w:r w:rsidR="004F1CC9">
        <w:rPr>
          <w:noProof/>
        </w:rPr>
        <w:t>)</w:t>
      </w:r>
      <w:r w:rsidR="004F1CC9">
        <w:fldChar w:fldCharType="end"/>
      </w:r>
      <w:r>
        <w:t>. Alternatively, micrometeorological methods average over larger areas and do not disturb the surface.  The eddy covariance method requires</w:t>
      </w:r>
      <w:r w:rsidR="00177980">
        <w:t>, however,</w:t>
      </w:r>
      <w:r>
        <w:t xml:space="preserve"> fast and precise N</w:t>
      </w:r>
      <w:r w:rsidRPr="00177980">
        <w:rPr>
          <w:vertAlign w:val="subscript"/>
        </w:rPr>
        <w:t>2</w:t>
      </w:r>
      <w:r>
        <w:t>O concentration measurements. New sensors have been developed that promise to resolve small N</w:t>
      </w:r>
      <w:r w:rsidRPr="00177980">
        <w:rPr>
          <w:vertAlign w:val="subscript"/>
        </w:rPr>
        <w:t>2</w:t>
      </w:r>
      <w:r>
        <w:t xml:space="preserve">O concentration fluctuations </w:t>
      </w:r>
      <w:r w:rsidR="00F07A8E">
        <w:t>continuous</w:t>
      </w:r>
      <w:r>
        <w:t xml:space="preserve">ly in the field with </w:t>
      </w:r>
      <w:r w:rsidR="00F07A8E">
        <w:t xml:space="preserve">high stability and </w:t>
      </w:r>
      <w:r>
        <w:t>low demand</w:t>
      </w:r>
      <w:r w:rsidR="00F07A8E">
        <w:t>s</w:t>
      </w:r>
      <w:r>
        <w:t xml:space="preserve"> </w:t>
      </w:r>
      <w:r w:rsidR="00177980">
        <w:t xml:space="preserve">for </w:t>
      </w:r>
      <w:r>
        <w:t>maintenance. It is, however, necessary to compare these new sensors with established sensors in field campaigns</w:t>
      </w:r>
      <w:r w:rsidR="004F1CC9">
        <w:t xml:space="preserve">. </w:t>
      </w:r>
    </w:p>
    <w:p w:rsidR="00861515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Links with current research of the applicant</w:t>
      </w:r>
    </w:p>
    <w:p w:rsidR="00005ED1" w:rsidRPr="00F20757" w:rsidRDefault="00005ED1" w:rsidP="00177980">
      <w:pPr>
        <w:spacing w:before="240"/>
      </w:pPr>
      <w:r>
        <w:lastRenderedPageBreak/>
        <w:t>The applicants are participant</w:t>
      </w:r>
      <w:r w:rsidR="00F07A8E">
        <w:t>s</w:t>
      </w:r>
      <w:r>
        <w:t xml:space="preserve"> of the InGOS EU project. There we apply a Los Gatos Research N20/CO</w:t>
      </w:r>
      <w:r w:rsidR="00936FFB">
        <w:t>/H2O</w:t>
      </w:r>
      <w:r>
        <w:t xml:space="preserve"> Analyzer using the Off-axis</w:t>
      </w:r>
      <w:r w:rsidR="00936FFB">
        <w:t>,</w:t>
      </w:r>
      <w:r>
        <w:t xml:space="preserve"> </w:t>
      </w:r>
      <w:r w:rsidR="00936FFB" w:rsidRPr="00936FFB">
        <w:t>Integrated Cavity Output Spectroscopy</w:t>
      </w:r>
      <w:r>
        <w:t xml:space="preserve"> technology, </w:t>
      </w:r>
      <w:r w:rsidR="00936FFB">
        <w:t xml:space="preserve">a development from the </w:t>
      </w:r>
      <w:r>
        <w:t>cavity enhanced absorption technique, to measure N</w:t>
      </w:r>
      <w:r w:rsidRPr="00177980">
        <w:rPr>
          <w:vertAlign w:val="subscript"/>
        </w:rPr>
        <w:t>2</w:t>
      </w:r>
      <w:r>
        <w:t>O fluxes between a will</w:t>
      </w:r>
      <w:r w:rsidR="005C1C00">
        <w:t>ow plantation and the atmosphere</w:t>
      </w:r>
      <w:r>
        <w:t xml:space="preserve">. </w:t>
      </w:r>
      <w:r w:rsidR="00177980">
        <w:t xml:space="preserve">The Willow site </w:t>
      </w:r>
      <w:r>
        <w:t xml:space="preserve">is characterized by very low N2O fluxes </w:t>
      </w:r>
      <w:r w:rsidR="00F07A8E">
        <w:t xml:space="preserve">which are comparable to forest sites </w:t>
      </w:r>
      <w:r w:rsidR="00F07A8E">
        <w:fldChar w:fldCharType="begin"/>
      </w:r>
      <w:r w:rsidR="00F07A8E">
        <w:instrText xml:space="preserve"> ADDIN EN.CITE &lt;EndNote&gt;&lt;Cite&gt;&lt;Author&gt;Eugster&lt;/Author&gt;&lt;Year&gt;2007&lt;/Year&gt;&lt;RecNum&gt;2839&lt;/RecNum&gt;&lt;DisplayText&gt;(Eugster et al., 2007; Pihlatie et al., 2005)&lt;/DisplayText&gt;&lt;record&gt;&lt;rec-number&gt;2839&lt;/rec-number&gt;&lt;foreign-keys&gt;&lt;key app="EN" db-id="d9p220p0aetstle5rrtps2wfep9stpd2xap5"&gt;2839&lt;/key&gt;&lt;/foreign-keys&gt;&lt;ref-type name="Journal Article"&gt;17&lt;/ref-type&gt;&lt;contributors&gt;&lt;authors&gt;&lt;author&gt;Eugster, W&lt;/author&gt;&lt;author&gt;Zeyer, K&lt;/author&gt;&lt;author&gt;Zeeman, M&lt;/author&gt;&lt;author&gt;Michna, P&lt;/author&gt;&lt;author&gt;Zingg, A&lt;/author&gt;&lt;author&gt;Buchmann, N&lt;/author&gt;&lt;author&gt;Emmenegger, L&lt;/author&gt;&lt;/authors&gt;&lt;/contributors&gt;&lt;titles&gt;&lt;title&gt;Methodical study of nitrous oxide eddy covariance measurements using quantum cascade laser spectrometery over a Swiss forest&lt;/title&gt;&lt;secondary-title&gt;Biogeosciences&lt;/secondary-title&gt;&lt;/titles&gt;&lt;periodical&gt;&lt;full-title&gt;Biogeosciences&lt;/full-title&gt;&lt;/periodical&gt;&lt;pages&gt;927-939&lt;/pages&gt;&lt;volume&gt;4&lt;/volume&gt;&lt;number&gt;5&lt;/number&gt;&lt;keywords&gt;&lt;keyword&gt;N2O Fluxes&lt;/keyword&gt;&lt;keyword&gt;Quantum Cascade Laser Spectroscopy&lt;/keyword&gt;&lt;keyword&gt;Lägeren&lt;/keyword&gt;&lt;/keywords&gt;&lt;dates&gt;&lt;year&gt;2007&lt;/year&gt;&lt;/dates&gt;&lt;urls&gt;&lt;/urls&gt;&lt;/record&gt;&lt;/Cite&gt;&lt;Cite&gt;&lt;Author&gt;Pihlatie&lt;/Author&gt;&lt;Year&gt;2005&lt;/Year&gt;&lt;RecNum&gt;2844&lt;/RecNum&gt;&lt;record&gt;&lt;rec-number&gt;2844&lt;/rec-number&gt;&lt;foreign-keys&gt;&lt;key app="EN" db-id="d9p220p0aetstle5rrtps2wfep9stpd2xap5"&gt;2844&lt;/key&gt;&lt;/foreign-keys&gt;&lt;ref-type name="Journal Article"&gt;17&lt;/ref-type&gt;&lt;contributors&gt;&lt;authors&gt;&lt;author&gt;Pihlatie, M&lt;/author&gt;&lt;author&gt;Rinne, J&lt;/author&gt;&lt;author&gt;Ambus, P&lt;/author&gt;&lt;author&gt;Pilegaard, K&lt;/author&gt;&lt;author&gt;Dorsey, JR&lt;/author&gt;&lt;author&gt;Rannik, Ü&lt;/author&gt;&lt;author&gt;Markkanen, T&lt;/author&gt;&lt;author&gt;Launiainen, S&lt;/author&gt;&lt;author&gt;Vesala, T&lt;/author&gt;&lt;/authors&gt;&lt;/contributors&gt;&lt;titles&gt;&lt;title&gt;Nitrous oxide emissions from a beech forest floor measured by eddy covariance and soil enclosure techniques&lt;/title&gt;&lt;secondary-title&gt;Biogeosciences Discussions&lt;/secondary-title&gt;&lt;/titles&gt;&lt;periodical&gt;&lt;full-title&gt;Biogeosciences Discussions&lt;/full-title&gt;&lt;/periodical&gt;&lt;pages&gt;581-607&lt;/pages&gt;&lt;volume&gt;2&lt;/volume&gt;&lt;number&gt;3&lt;/number&gt;&lt;dates&gt;&lt;year&gt;2005&lt;/year&gt;&lt;/dates&gt;&lt;urls&gt;&lt;/urls&gt;&lt;/record&gt;&lt;/Cite&gt;&lt;/EndNote&gt;</w:instrText>
      </w:r>
      <w:r w:rsidR="00F07A8E">
        <w:fldChar w:fldCharType="separate"/>
      </w:r>
      <w:r w:rsidR="00F07A8E">
        <w:rPr>
          <w:noProof/>
        </w:rPr>
        <w:t>(</w:t>
      </w:r>
      <w:hyperlink w:anchor="_ENREF_1" w:tooltip="Eugster, 2007 #2839" w:history="1">
        <w:r w:rsidR="00F07A8E">
          <w:rPr>
            <w:noProof/>
          </w:rPr>
          <w:t>Eugster et al., 2007</w:t>
        </w:r>
      </w:hyperlink>
      <w:r w:rsidR="00F07A8E">
        <w:rPr>
          <w:noProof/>
        </w:rPr>
        <w:t xml:space="preserve">; </w:t>
      </w:r>
      <w:hyperlink w:anchor="_ENREF_3" w:tooltip="Pihlatie, 2005 #2844" w:history="1">
        <w:r w:rsidR="00F07A8E">
          <w:rPr>
            <w:noProof/>
          </w:rPr>
          <w:t>Pihlatie et al., 2005</w:t>
        </w:r>
      </w:hyperlink>
      <w:r w:rsidR="00F07A8E">
        <w:rPr>
          <w:noProof/>
        </w:rPr>
        <w:t>)</w:t>
      </w:r>
      <w:r w:rsidR="00F07A8E">
        <w:fldChar w:fldCharType="end"/>
      </w:r>
      <w:r w:rsidR="00F07A8E">
        <w:t xml:space="preserve"> </w:t>
      </w:r>
      <w:r>
        <w:t>and comparison of the equipment at a high emission site with other similar equipment is necessary</w:t>
      </w:r>
      <w:r w:rsidR="00F07A8E">
        <w:t xml:space="preserve"> to characterize the spectral </w:t>
      </w:r>
      <w:r w:rsidR="00936FFB">
        <w:t>behavior decently above the</w:t>
      </w:r>
      <w:r w:rsidR="00F07A8E">
        <w:t xml:space="preserve"> detection </w:t>
      </w:r>
      <w:r w:rsidR="00936FFB">
        <w:t>limit of the measurement</w:t>
      </w:r>
      <w:r>
        <w:t>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Objectives</w:t>
      </w:r>
    </w:p>
    <w:p w:rsidR="00861515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Hypothesis and research objectives</w:t>
      </w:r>
    </w:p>
    <w:p w:rsidR="00936FFB" w:rsidRDefault="00936FFB" w:rsidP="00936FFB">
      <w:r>
        <w:t>H1: The LGR – off axis ICOS laser is able to resolve turbulent concentration fluctuations with sufficient chemical precision and known</w:t>
      </w:r>
      <w:r w:rsidR="000869BF">
        <w:t>,</w:t>
      </w:r>
      <w:r>
        <w:t xml:space="preserve"> acceptable frequency cut-off.</w:t>
      </w:r>
    </w:p>
    <w:p w:rsidR="00936FFB" w:rsidRDefault="00936FFB" w:rsidP="005C1C00">
      <w:r>
        <w:t xml:space="preserve">H2: Using different </w:t>
      </w:r>
      <w:r w:rsidR="00177980">
        <w:t>typ</w:t>
      </w:r>
      <w:r>
        <w:t>es of N</w:t>
      </w:r>
      <w:r w:rsidRPr="00177980">
        <w:rPr>
          <w:vertAlign w:val="subscript"/>
        </w:rPr>
        <w:t>2</w:t>
      </w:r>
      <w:r>
        <w:t xml:space="preserve">O eddy covariance equipment </w:t>
      </w:r>
      <w:r w:rsidR="000869BF">
        <w:t>(N</w:t>
      </w:r>
      <w:r w:rsidR="000869BF" w:rsidRPr="005C1C00">
        <w:rPr>
          <w:vertAlign w:val="subscript"/>
        </w:rPr>
        <w:t>2</w:t>
      </w:r>
      <w:r w:rsidR="000869BF">
        <w:t xml:space="preserve">O concentration analysis and sonic anemometry) </w:t>
      </w:r>
      <w:r>
        <w:t>in parallel yields flux results within uncertainty ranges at a site with stationary N</w:t>
      </w:r>
      <w:r w:rsidRPr="005C1C00">
        <w:rPr>
          <w:vertAlign w:val="subscript"/>
        </w:rPr>
        <w:t>2</w:t>
      </w:r>
      <w:r>
        <w:t>O flux conditions.</w:t>
      </w:r>
    </w:p>
    <w:p w:rsidR="000869BF" w:rsidRPr="00F20757" w:rsidRDefault="000869BF" w:rsidP="00936FFB">
      <w:r>
        <w:t>H3: If H2 has been proven, eddy covariance systems at different heights or different locations can demonstrate the effects of horizontal heterogeneity of N2O fluxes at a given site.</w:t>
      </w:r>
    </w:p>
    <w:p w:rsidR="00861515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Connection with the InGOS objectives and the ‘fitness’ of the use of the requested infrastructure to the objectives</w:t>
      </w:r>
    </w:p>
    <w:p w:rsidR="00936FFB" w:rsidRPr="00F20757" w:rsidRDefault="00936FFB" w:rsidP="00936FFB">
      <w:r>
        <w:t>The InGOS research infrastructure relies on comparable flux measurement methodology. It is necessary to s</w:t>
      </w:r>
      <w:r w:rsidR="000869BF">
        <w:t>how that different equipment yi</w:t>
      </w:r>
      <w:r>
        <w:t>eld</w:t>
      </w:r>
      <w:r w:rsidR="005C1C00">
        <w:t>s</w:t>
      </w:r>
      <w:r>
        <w:t xml:space="preserve"> comparable flux estimates, when run under the same conditions</w:t>
      </w:r>
      <w:r w:rsidR="000869BF">
        <w:t xml:space="preserve"> and processed with a standardized protocol</w:t>
      </w:r>
      <w:r>
        <w:t xml:space="preserve">. 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Methods and materials (</w:t>
      </w:r>
      <w:r w:rsidR="00F20757">
        <w:rPr>
          <w:b/>
        </w:rPr>
        <w:t xml:space="preserve">legal and </w:t>
      </w:r>
      <w:r>
        <w:rPr>
          <w:b/>
        </w:rPr>
        <w:t>ethical issues)</w:t>
      </w:r>
    </w:p>
    <w:p w:rsidR="00861515" w:rsidRDefault="00861515" w:rsidP="00F20757">
      <w:pPr>
        <w:pStyle w:val="ListParagraph"/>
        <w:numPr>
          <w:ilvl w:val="1"/>
          <w:numId w:val="1"/>
        </w:numPr>
        <w:ind w:left="1080"/>
      </w:pPr>
      <w:r w:rsidRPr="00F20757">
        <w:t>Research method</w:t>
      </w:r>
      <w:r w:rsidR="00F20757" w:rsidRPr="00F20757">
        <w:t>, explaining how to reach the objective</w:t>
      </w:r>
    </w:p>
    <w:p w:rsidR="000869BF" w:rsidRPr="00F20757" w:rsidRDefault="000869BF" w:rsidP="000869BF">
      <w:r>
        <w:t>Instruments from our group will be set up together with similar equipment in a standardized way to compare the measurements of N</w:t>
      </w:r>
      <w:r w:rsidRPr="005C1C00">
        <w:rPr>
          <w:vertAlign w:val="subscript"/>
        </w:rPr>
        <w:t>2</w:t>
      </w:r>
      <w:r>
        <w:t xml:space="preserve">O fluctuations and the 3D wind speed components. The equipment will be installed </w:t>
      </w:r>
      <w:r w:rsidRPr="000869BF">
        <w:t>on the border between two intensively-managed grassland fields</w:t>
      </w:r>
      <w:r>
        <w:t xml:space="preserve"> in the Easterbush field site that is maintained by the CEH, Edinburgh. To genera</w:t>
      </w:r>
      <w:r w:rsidR="005C1C00">
        <w:t>te different flux</w:t>
      </w:r>
      <w:r>
        <w:t xml:space="preserve"> levels this will happen before and after a fertilization event.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Research materials</w:t>
      </w:r>
      <w:r>
        <w:t>, instrumentation</w:t>
      </w:r>
    </w:p>
    <w:p w:rsidR="000869BF" w:rsidRPr="00F20757" w:rsidRDefault="000869BF" w:rsidP="000869BF">
      <w:r>
        <w:t>We will install a LGR N2O/CO/H2O laser for N</w:t>
      </w:r>
      <w:r w:rsidRPr="005C1C00">
        <w:rPr>
          <w:vertAlign w:val="subscript"/>
        </w:rPr>
        <w:t>2</w:t>
      </w:r>
      <w:r>
        <w:t>O concentration measurement together with a GILL HS 50 research 3D sonic anemometer and a log</w:t>
      </w:r>
      <w:r w:rsidR="005C1C00">
        <w:t>ging system based on a Cam</w:t>
      </w:r>
      <w:r>
        <w:t>pbell Scientific CR-3000 data logger.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Governance procedures, safety precautions, permit requirements and procedures</w:t>
      </w:r>
    </w:p>
    <w:p w:rsidR="000869BF" w:rsidRPr="00F20757" w:rsidRDefault="000869BF" w:rsidP="000869BF">
      <w:r>
        <w:t xml:space="preserve">The equipment will be installed during the week before the campaign and then run and maintained by CEH staff. Data quality will be controlled via remote access from </w:t>
      </w:r>
      <w:r w:rsidR="00140770">
        <w:t>Denmark.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Implementaton: timetable, budget, distribution of work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Timetable for the research including personnel efforts, favorably table wise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082"/>
        <w:gridCol w:w="2082"/>
        <w:gridCol w:w="1758"/>
        <w:gridCol w:w="2056"/>
      </w:tblGrid>
      <w:tr w:rsidR="00623663" w:rsidTr="00623663">
        <w:tc>
          <w:tcPr>
            <w:tcW w:w="2318" w:type="dxa"/>
          </w:tcPr>
          <w:p w:rsidR="00623663" w:rsidRDefault="00623663" w:rsidP="00140770">
            <w:r>
              <w:t>Action</w:t>
            </w:r>
          </w:p>
        </w:tc>
        <w:tc>
          <w:tcPr>
            <w:tcW w:w="2082" w:type="dxa"/>
          </w:tcPr>
          <w:p w:rsidR="00623663" w:rsidRDefault="00623663" w:rsidP="00140770">
            <w:r>
              <w:t>From</w:t>
            </w:r>
          </w:p>
        </w:tc>
        <w:tc>
          <w:tcPr>
            <w:tcW w:w="2082" w:type="dxa"/>
          </w:tcPr>
          <w:p w:rsidR="00623663" w:rsidRDefault="00623663" w:rsidP="00140770">
            <w:r>
              <w:t>To</w:t>
            </w:r>
          </w:p>
        </w:tc>
        <w:tc>
          <w:tcPr>
            <w:tcW w:w="1758" w:type="dxa"/>
          </w:tcPr>
          <w:p w:rsidR="00623663" w:rsidRDefault="00003548" w:rsidP="00003548">
            <w:r>
              <w:t>Personnel efforts</w:t>
            </w:r>
          </w:p>
        </w:tc>
        <w:tc>
          <w:tcPr>
            <w:tcW w:w="2056" w:type="dxa"/>
          </w:tcPr>
          <w:p w:rsidR="00623663" w:rsidRDefault="00623663" w:rsidP="00140770">
            <w:r>
              <w:t>Cost</w:t>
            </w:r>
          </w:p>
        </w:tc>
      </w:tr>
      <w:tr w:rsidR="00623663" w:rsidTr="00623663">
        <w:tc>
          <w:tcPr>
            <w:tcW w:w="2318" w:type="dxa"/>
          </w:tcPr>
          <w:p w:rsidR="00623663" w:rsidRDefault="00623663" w:rsidP="00140770">
            <w:r>
              <w:lastRenderedPageBreak/>
              <w:t>Transport of the equipment to the site</w:t>
            </w:r>
          </w:p>
          <w:p w:rsidR="00623663" w:rsidRDefault="00623663" w:rsidP="00140770">
            <w:r>
              <w:t>Roskilde – Easterbush by car</w:t>
            </w:r>
          </w:p>
        </w:tc>
        <w:tc>
          <w:tcPr>
            <w:tcW w:w="2082" w:type="dxa"/>
          </w:tcPr>
          <w:p w:rsidR="00623663" w:rsidRDefault="00623663" w:rsidP="00140770">
            <w:r>
              <w:t>27.05.2013</w:t>
            </w:r>
          </w:p>
        </w:tc>
        <w:tc>
          <w:tcPr>
            <w:tcW w:w="2082" w:type="dxa"/>
          </w:tcPr>
          <w:p w:rsidR="00623663" w:rsidRDefault="00623663" w:rsidP="00140770">
            <w:r>
              <w:t>29.05.2013</w:t>
            </w:r>
          </w:p>
          <w:p w:rsidR="00623663" w:rsidRPr="007448EA" w:rsidRDefault="00623663" w:rsidP="007448EA"/>
        </w:tc>
        <w:tc>
          <w:tcPr>
            <w:tcW w:w="1758" w:type="dxa"/>
          </w:tcPr>
          <w:p w:rsidR="00623663" w:rsidRDefault="00003548" w:rsidP="00140770">
            <w:r>
              <w:t>2 days travelling</w:t>
            </w:r>
          </w:p>
        </w:tc>
        <w:tc>
          <w:tcPr>
            <w:tcW w:w="2056" w:type="dxa"/>
          </w:tcPr>
          <w:p w:rsidR="00623663" w:rsidRDefault="00623663" w:rsidP="00140770">
            <w:r>
              <w:t>250 € ferry (return)</w:t>
            </w:r>
          </w:p>
          <w:p w:rsidR="00623663" w:rsidRDefault="00623663" w:rsidP="00140770">
            <w:r>
              <w:t>150 € fuel</w:t>
            </w:r>
          </w:p>
        </w:tc>
      </w:tr>
      <w:tr w:rsidR="00623663" w:rsidTr="00623663">
        <w:tc>
          <w:tcPr>
            <w:tcW w:w="2318" w:type="dxa"/>
          </w:tcPr>
          <w:p w:rsidR="00623663" w:rsidRDefault="00623663" w:rsidP="00140770">
            <w:r>
              <w:t xml:space="preserve">Installation </w:t>
            </w:r>
          </w:p>
          <w:p w:rsidR="00623663" w:rsidRDefault="00623663" w:rsidP="00140770">
            <w:r>
              <w:t>Calibration and tests</w:t>
            </w:r>
          </w:p>
        </w:tc>
        <w:tc>
          <w:tcPr>
            <w:tcW w:w="2082" w:type="dxa"/>
          </w:tcPr>
          <w:p w:rsidR="00623663" w:rsidRDefault="00623663" w:rsidP="00140770">
            <w:r>
              <w:t>30.05.</w:t>
            </w:r>
          </w:p>
        </w:tc>
        <w:tc>
          <w:tcPr>
            <w:tcW w:w="2082" w:type="dxa"/>
          </w:tcPr>
          <w:p w:rsidR="00623663" w:rsidRDefault="00623663" w:rsidP="00140770">
            <w:r>
              <w:t>01.06</w:t>
            </w:r>
          </w:p>
        </w:tc>
        <w:tc>
          <w:tcPr>
            <w:tcW w:w="1758" w:type="dxa"/>
          </w:tcPr>
          <w:p w:rsidR="00623663" w:rsidRDefault="00623663" w:rsidP="00140770">
            <w:r>
              <w:t>3</w:t>
            </w:r>
            <w:r w:rsidR="00003548">
              <w:t xml:space="preserve"> user days at the site</w:t>
            </w:r>
          </w:p>
        </w:tc>
        <w:tc>
          <w:tcPr>
            <w:tcW w:w="2056" w:type="dxa"/>
          </w:tcPr>
          <w:p w:rsidR="00623663" w:rsidRDefault="00623663" w:rsidP="00140770"/>
        </w:tc>
      </w:tr>
      <w:tr w:rsidR="00623663" w:rsidTr="00623663">
        <w:tc>
          <w:tcPr>
            <w:tcW w:w="2318" w:type="dxa"/>
          </w:tcPr>
          <w:p w:rsidR="00623663" w:rsidRDefault="00623663" w:rsidP="00140770">
            <w:r>
              <w:t>Return to Roskilde</w:t>
            </w:r>
          </w:p>
        </w:tc>
        <w:tc>
          <w:tcPr>
            <w:tcW w:w="2082" w:type="dxa"/>
          </w:tcPr>
          <w:p w:rsidR="00623663" w:rsidRDefault="00623663" w:rsidP="00140770">
            <w:r>
              <w:t>01.05</w:t>
            </w:r>
          </w:p>
        </w:tc>
        <w:tc>
          <w:tcPr>
            <w:tcW w:w="2082" w:type="dxa"/>
          </w:tcPr>
          <w:p w:rsidR="00623663" w:rsidRDefault="00623663" w:rsidP="00140770">
            <w:r>
              <w:t>02.06</w:t>
            </w:r>
          </w:p>
        </w:tc>
        <w:tc>
          <w:tcPr>
            <w:tcW w:w="1758" w:type="dxa"/>
          </w:tcPr>
          <w:p w:rsidR="00623663" w:rsidRDefault="00623663" w:rsidP="00140770">
            <w:r>
              <w:t>2</w:t>
            </w:r>
            <w:r w:rsidR="00003548">
              <w:t xml:space="preserve"> days travelling</w:t>
            </w:r>
          </w:p>
        </w:tc>
        <w:tc>
          <w:tcPr>
            <w:tcW w:w="2056" w:type="dxa"/>
          </w:tcPr>
          <w:p w:rsidR="00623663" w:rsidRDefault="00623663" w:rsidP="00140770">
            <w:r>
              <w:t>150 € fuel</w:t>
            </w:r>
          </w:p>
        </w:tc>
      </w:tr>
      <w:tr w:rsidR="00623663" w:rsidTr="00623663">
        <w:tc>
          <w:tcPr>
            <w:tcW w:w="2318" w:type="dxa"/>
          </w:tcPr>
          <w:p w:rsidR="00623663" w:rsidRDefault="00623663" w:rsidP="00140770">
            <w:r>
              <w:t>Equipment stays measuring at the site</w:t>
            </w:r>
          </w:p>
        </w:tc>
        <w:tc>
          <w:tcPr>
            <w:tcW w:w="2082" w:type="dxa"/>
          </w:tcPr>
          <w:p w:rsidR="00623663" w:rsidRDefault="00623663" w:rsidP="00140770">
            <w:r>
              <w:t>31.05.</w:t>
            </w:r>
          </w:p>
        </w:tc>
        <w:tc>
          <w:tcPr>
            <w:tcW w:w="2082" w:type="dxa"/>
          </w:tcPr>
          <w:p w:rsidR="00623663" w:rsidRDefault="00623663" w:rsidP="00140770">
            <w:r>
              <w:t>28.06</w:t>
            </w:r>
          </w:p>
        </w:tc>
        <w:tc>
          <w:tcPr>
            <w:tcW w:w="1758" w:type="dxa"/>
          </w:tcPr>
          <w:p w:rsidR="00623663" w:rsidRDefault="00623663" w:rsidP="00140770"/>
        </w:tc>
        <w:tc>
          <w:tcPr>
            <w:tcW w:w="2056" w:type="dxa"/>
          </w:tcPr>
          <w:p w:rsidR="00623663" w:rsidRDefault="00623663" w:rsidP="00140770"/>
        </w:tc>
      </w:tr>
      <w:tr w:rsidR="00623663" w:rsidTr="00623663">
        <w:tc>
          <w:tcPr>
            <w:tcW w:w="2318" w:type="dxa"/>
          </w:tcPr>
          <w:p w:rsidR="00623663" w:rsidRDefault="00623663" w:rsidP="00140770">
            <w:r>
              <w:t>Travel by car from Roskilde to Edinburgh</w:t>
            </w:r>
          </w:p>
        </w:tc>
        <w:tc>
          <w:tcPr>
            <w:tcW w:w="2082" w:type="dxa"/>
          </w:tcPr>
          <w:p w:rsidR="00623663" w:rsidRDefault="00623663" w:rsidP="00140770">
            <w:r>
              <w:t>26.06.</w:t>
            </w:r>
          </w:p>
        </w:tc>
        <w:tc>
          <w:tcPr>
            <w:tcW w:w="2082" w:type="dxa"/>
          </w:tcPr>
          <w:p w:rsidR="00623663" w:rsidRDefault="00623663" w:rsidP="00140770">
            <w:r>
              <w:t>27.06.</w:t>
            </w:r>
          </w:p>
        </w:tc>
        <w:tc>
          <w:tcPr>
            <w:tcW w:w="1758" w:type="dxa"/>
          </w:tcPr>
          <w:p w:rsidR="00623663" w:rsidRDefault="00003548" w:rsidP="00623663">
            <w:r>
              <w:t>Travelling 2 days</w:t>
            </w:r>
          </w:p>
        </w:tc>
        <w:tc>
          <w:tcPr>
            <w:tcW w:w="2056" w:type="dxa"/>
          </w:tcPr>
          <w:p w:rsidR="00623663" w:rsidRDefault="00623663" w:rsidP="00623663">
            <w:r>
              <w:t>250 € ferry (return)</w:t>
            </w:r>
          </w:p>
          <w:p w:rsidR="00623663" w:rsidRDefault="00623663" w:rsidP="00623663">
            <w:r>
              <w:t>150 € fuel</w:t>
            </w:r>
          </w:p>
        </w:tc>
      </w:tr>
      <w:tr w:rsidR="00003548" w:rsidTr="00623663">
        <w:tc>
          <w:tcPr>
            <w:tcW w:w="2318" w:type="dxa"/>
          </w:tcPr>
          <w:p w:rsidR="00003548" w:rsidRDefault="00003548" w:rsidP="00140770">
            <w:r>
              <w:t>De-installations</w:t>
            </w:r>
          </w:p>
        </w:tc>
        <w:tc>
          <w:tcPr>
            <w:tcW w:w="2082" w:type="dxa"/>
          </w:tcPr>
          <w:p w:rsidR="00003548" w:rsidRDefault="00003548" w:rsidP="00140770">
            <w:r>
              <w:t>28.06</w:t>
            </w:r>
          </w:p>
        </w:tc>
        <w:tc>
          <w:tcPr>
            <w:tcW w:w="2082" w:type="dxa"/>
          </w:tcPr>
          <w:p w:rsidR="00003548" w:rsidRDefault="00C90845" w:rsidP="00140770">
            <w:r>
              <w:t>29.06.</w:t>
            </w:r>
          </w:p>
        </w:tc>
        <w:tc>
          <w:tcPr>
            <w:tcW w:w="1758" w:type="dxa"/>
          </w:tcPr>
          <w:p w:rsidR="00003548" w:rsidRDefault="00C90845" w:rsidP="00623663">
            <w:r>
              <w:t>2</w:t>
            </w:r>
            <w:r w:rsidR="00003548">
              <w:t xml:space="preserve"> user day</w:t>
            </w:r>
            <w:r>
              <w:t>s</w:t>
            </w:r>
          </w:p>
        </w:tc>
        <w:tc>
          <w:tcPr>
            <w:tcW w:w="2056" w:type="dxa"/>
          </w:tcPr>
          <w:p w:rsidR="00003548" w:rsidRDefault="00003548" w:rsidP="00623663"/>
        </w:tc>
      </w:tr>
      <w:tr w:rsidR="00623663" w:rsidTr="00623663">
        <w:tc>
          <w:tcPr>
            <w:tcW w:w="2318" w:type="dxa"/>
          </w:tcPr>
          <w:p w:rsidR="00623663" w:rsidRDefault="00623663" w:rsidP="00140770">
            <w:r>
              <w:t xml:space="preserve">Travel back </w:t>
            </w:r>
          </w:p>
        </w:tc>
        <w:tc>
          <w:tcPr>
            <w:tcW w:w="2082" w:type="dxa"/>
          </w:tcPr>
          <w:p w:rsidR="00623663" w:rsidRDefault="00623663" w:rsidP="00140770">
            <w:r>
              <w:t>01.07.</w:t>
            </w:r>
          </w:p>
        </w:tc>
        <w:tc>
          <w:tcPr>
            <w:tcW w:w="2082" w:type="dxa"/>
          </w:tcPr>
          <w:p w:rsidR="00623663" w:rsidRDefault="00623663" w:rsidP="00140770">
            <w:r>
              <w:t>02.07.</w:t>
            </w:r>
          </w:p>
        </w:tc>
        <w:tc>
          <w:tcPr>
            <w:tcW w:w="1758" w:type="dxa"/>
          </w:tcPr>
          <w:p w:rsidR="00623663" w:rsidRDefault="00003548" w:rsidP="00623663">
            <w:r>
              <w:t>Travelling 2 days</w:t>
            </w:r>
          </w:p>
        </w:tc>
        <w:tc>
          <w:tcPr>
            <w:tcW w:w="2056" w:type="dxa"/>
          </w:tcPr>
          <w:p w:rsidR="00623663" w:rsidRDefault="00623663" w:rsidP="00623663">
            <w:r>
              <w:t>150 € fuel</w:t>
            </w:r>
          </w:p>
        </w:tc>
      </w:tr>
    </w:tbl>
    <w:p w:rsidR="00140770" w:rsidRPr="00F20757" w:rsidRDefault="00140770" w:rsidP="00140770"/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 xml:space="preserve">Total budget for travel and logistical support as requested </w:t>
      </w:r>
    </w:p>
    <w:p w:rsidR="00003548" w:rsidRPr="00F20757" w:rsidRDefault="00C90845" w:rsidP="00003548">
      <w:r>
        <w:t>5 RWD + 500 € travel and subsistence</w:t>
      </w:r>
    </w:p>
    <w:p w:rsidR="00F20757" w:rsidRP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Plan for specific logistal needs like visa, import/export licenses etc.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Expected results and possible risks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Expected scientific impact of the research</w:t>
      </w:r>
    </w:p>
    <w:p w:rsidR="00C90845" w:rsidRPr="00F20757" w:rsidRDefault="00C90845" w:rsidP="00C90845">
      <w:r>
        <w:t>Consolidation of the ability of the InGOS research infrastructure to measure N</w:t>
      </w:r>
      <w:r w:rsidRPr="005C1C00">
        <w:rPr>
          <w:vertAlign w:val="subscript"/>
        </w:rPr>
        <w:t>2</w:t>
      </w:r>
      <w:r>
        <w:t>O fluxes within known uncertainty ranges at different sites.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Applicability and feasibility of the research results</w:t>
      </w:r>
    </w:p>
    <w:p w:rsidR="00C90845" w:rsidRPr="00F20757" w:rsidRDefault="00C90845" w:rsidP="00C90845">
      <w:r>
        <w:t>Results from different N</w:t>
      </w:r>
      <w:r w:rsidRPr="005C1C00">
        <w:rPr>
          <w:vertAlign w:val="subscript"/>
        </w:rPr>
        <w:t>2</w:t>
      </w:r>
      <w:r>
        <w:t>O flux measurements will be compared and strengths and limitations of the individual set-ups evaluated. Flux measurements at high emission rates will enable proper and accurate characterization of the equipment used at the Danish InGOS infrastructure installations.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Publication plan</w:t>
      </w:r>
    </w:p>
    <w:p w:rsidR="00C90845" w:rsidRPr="00F20757" w:rsidRDefault="00C90845" w:rsidP="00C90845">
      <w:r>
        <w:t>To be harmonized with the other groups that take part in the campaign.</w:t>
      </w:r>
    </w:p>
    <w:p w:rsidR="00F20757" w:rsidRDefault="00F20757" w:rsidP="00F20757">
      <w:pPr>
        <w:pStyle w:val="ListParagraph"/>
        <w:numPr>
          <w:ilvl w:val="1"/>
          <w:numId w:val="1"/>
        </w:numPr>
        <w:ind w:left="1080"/>
      </w:pPr>
      <w:r w:rsidRPr="00F20757">
        <w:t>Data access plan</w:t>
      </w:r>
    </w:p>
    <w:p w:rsidR="00C90845" w:rsidRPr="00F20757" w:rsidRDefault="00C90845" w:rsidP="00C90845">
      <w:r>
        <w:t>Raw data will be accessible to the participants of the campaign near real time and after consolidation according to the data policy of InGOS.</w:t>
      </w:r>
    </w:p>
    <w:p w:rsidR="00861515" w:rsidRPr="00861515" w:rsidRDefault="00861515" w:rsidP="00F20757">
      <w:pPr>
        <w:pStyle w:val="ListParagraph"/>
        <w:ind w:left="360"/>
        <w:rPr>
          <w:b/>
        </w:rPr>
      </w:pPr>
    </w:p>
    <w:p w:rsidR="00861515" w:rsidRDefault="00861515" w:rsidP="00F20757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Key literature</w:t>
      </w:r>
    </w:p>
    <w:p w:rsidR="00724690" w:rsidRDefault="00F20757" w:rsidP="00C90845">
      <w:pPr>
        <w:pStyle w:val="ListParagraph"/>
        <w:numPr>
          <w:ilvl w:val="1"/>
          <w:numId w:val="1"/>
        </w:numPr>
        <w:ind w:left="1080"/>
      </w:pPr>
      <w:r w:rsidRPr="00F20757">
        <w:t>List of references used in the working plan</w:t>
      </w:r>
    </w:p>
    <w:p w:rsidR="00C90845" w:rsidRDefault="00C90845" w:rsidP="00C90845">
      <w:pPr>
        <w:pStyle w:val="ListParagraph"/>
        <w:ind w:hanging="720"/>
      </w:pPr>
      <w:r w:rsidRPr="00C90845">
        <w:rPr>
          <w:lang w:val="de-DE"/>
        </w:rPr>
        <w:t xml:space="preserve">Eugster, W., Zeyer, K., Zeeman, M., Michna, P., Zingg, A., Buchmann, N. and Emmenegger, L., 2007. </w:t>
      </w:r>
      <w:r>
        <w:t xml:space="preserve">Methodical study of nitrous oxide eddy covariance measurements using </w:t>
      </w:r>
      <w:r>
        <w:lastRenderedPageBreak/>
        <w:t>quantum cascade laser spectrometery over a Swiss forest. Biogeosciences, 4(5): 927-939.</w:t>
      </w:r>
    </w:p>
    <w:p w:rsidR="00177980" w:rsidRDefault="00177980" w:rsidP="00177980">
      <w:pPr>
        <w:autoSpaceDE w:val="0"/>
        <w:autoSpaceDN w:val="0"/>
        <w:adjustRightInd w:val="0"/>
        <w:ind w:left="720" w:hanging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Fratini, G., Ibrom, A., Arriga, N., Burba, G. and Papale, D., 2012. Relative humidity effects on water vapour fluxes measured with closed-path eddy-covariance systems with short sampling lines. Agricultural and Forest Meteorology, 165(0): 53-63.</w:t>
      </w:r>
    </w:p>
    <w:p w:rsidR="00C90845" w:rsidRDefault="00C90845" w:rsidP="00C90845">
      <w:pPr>
        <w:pStyle w:val="ListParagraph"/>
        <w:ind w:hanging="720"/>
      </w:pPr>
      <w:r>
        <w:t>Jones, S.K., Famulari, D., Di Marco, C.F., Nemitz, E., Skiba, U.M., Rees, R.M. and Sutton, M.A., 2011. Nitrous oxide emissions from managed grassland: a comparison of eddy covariance and static chamber measurements. Atmos. Meas. Tech., 4(10): 2179-2194.</w:t>
      </w:r>
    </w:p>
    <w:p w:rsidR="00177980" w:rsidRDefault="00177980" w:rsidP="00177980">
      <w:pPr>
        <w:autoSpaceDE w:val="0"/>
        <w:autoSpaceDN w:val="0"/>
        <w:adjustRightInd w:val="0"/>
        <w:ind w:left="720" w:hanging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Ibrom, A., Dellwik, E., Jensen, N.O., Flyvbjerg, H. and Pilegaard, K., 2007. Strong low-pass filtering effects on water vapour flux measurements with closed-path eddy correlation systems. Agricultural and Forest Meteorology, 147: 140 -156.</w:t>
      </w:r>
    </w:p>
    <w:p w:rsidR="00177980" w:rsidRPr="00177980" w:rsidRDefault="00177980" w:rsidP="00177980">
      <w:pPr>
        <w:autoSpaceDE w:val="0"/>
        <w:autoSpaceDN w:val="0"/>
        <w:adjustRightInd w:val="0"/>
        <w:ind w:left="720" w:hanging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Ibrom, A., Dellwik, E., Larsen, S.E. and Pilegaard, K., 2007. On the use of the Webb - Pearman - Leuning - theory for closed-path eddy correlation measurements. Tellus B, 59B: 937-946.</w:t>
      </w:r>
    </w:p>
    <w:p w:rsidR="00C90845" w:rsidRDefault="00C90845" w:rsidP="00C90845">
      <w:pPr>
        <w:pStyle w:val="ListParagraph"/>
        <w:ind w:hanging="720"/>
      </w:pPr>
      <w:r>
        <w:t>Pihlatie, M., Rinne, J., Ambus, P., Pilegaard, K., Dorsey, J., Rannik, Ü., Markkanen, T., Launiainen, S. and Vesala, T., 2005. Nitrous oxide emissions from a beech forest floor measured by eddy covariance and soil enclosure techniques. Biogeosciences Discussions, 2(3): 581-607.</w:t>
      </w:r>
    </w:p>
    <w:p w:rsidR="00177980" w:rsidRDefault="00177980" w:rsidP="00177980">
      <w:pPr>
        <w:autoSpaceDE w:val="0"/>
        <w:autoSpaceDN w:val="0"/>
        <w:adjustRightInd w:val="0"/>
        <w:ind w:left="720" w:hanging="720"/>
        <w:rPr>
          <w:rFonts w:ascii="Arial" w:hAnsi="Arial" w:cs="Arial"/>
          <w:lang w:val="en-GB"/>
        </w:rPr>
      </w:pPr>
      <w:r w:rsidRPr="00177980">
        <w:rPr>
          <w:rFonts w:ascii="Arial" w:hAnsi="Arial" w:cs="Arial"/>
          <w:lang w:val="de-DE"/>
        </w:rPr>
        <w:t xml:space="preserve">Mammarella, I., Werle, P., Pihlatie, M., Eugster, W., Haapanala, S., Kiese, R., Markkanen, T., Rannik, U. and Vesala, T., 2010. </w:t>
      </w:r>
      <w:r>
        <w:rPr>
          <w:rFonts w:ascii="Arial" w:hAnsi="Arial" w:cs="Arial"/>
          <w:lang w:val="en-GB"/>
        </w:rPr>
        <w:t>A case study of eddy covariance flux of N2O measured within forest ecosystems: quality control and flux error analysis. Biogeosciences, 7(2): 427-440.</w:t>
      </w:r>
    </w:p>
    <w:p w:rsidR="00177980" w:rsidRDefault="00177980" w:rsidP="00C90845">
      <w:pPr>
        <w:pStyle w:val="ListParagraph"/>
        <w:ind w:hanging="720"/>
      </w:pPr>
    </w:p>
    <w:p w:rsidR="00C90845" w:rsidRDefault="00C90845" w:rsidP="00F07A8E">
      <w:pPr>
        <w:pStyle w:val="ListParagraph"/>
        <w:ind w:hanging="720"/>
      </w:pPr>
    </w:p>
    <w:p w:rsidR="00C90845" w:rsidRDefault="00C90845" w:rsidP="00F07A8E">
      <w:pPr>
        <w:pStyle w:val="ListParagraph"/>
        <w:ind w:hanging="720"/>
      </w:pPr>
    </w:p>
    <w:p w:rsidR="00C90845" w:rsidRDefault="00C90845" w:rsidP="00F07A8E">
      <w:pPr>
        <w:pStyle w:val="ListParagraph"/>
        <w:ind w:hanging="720"/>
      </w:pPr>
    </w:p>
    <w:p w:rsidR="00C90845" w:rsidRDefault="00C90845" w:rsidP="00F07A8E">
      <w:pPr>
        <w:pStyle w:val="ListParagraph"/>
        <w:ind w:hanging="720"/>
      </w:pPr>
    </w:p>
    <w:p w:rsidR="00C90845" w:rsidRDefault="00C90845" w:rsidP="00F07A8E">
      <w:pPr>
        <w:pStyle w:val="ListParagraph"/>
        <w:ind w:hanging="720"/>
      </w:pPr>
    </w:p>
    <w:p w:rsidR="00C90845" w:rsidRDefault="00177980" w:rsidP="00F07A8E">
      <w:pPr>
        <w:pStyle w:val="ListParagraph"/>
        <w:ind w:hanging="720"/>
      </w:pPr>
      <w:r>
        <w:t xml:space="preserve">Cited </w:t>
      </w:r>
      <w:r w:rsidR="00C90845">
        <w:t>References:</w:t>
      </w:r>
    </w:p>
    <w:p w:rsidR="00F07A8E" w:rsidRDefault="00724690" w:rsidP="00F07A8E">
      <w:pPr>
        <w:pStyle w:val="ListParagraph"/>
        <w:ind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0" w:name="_ENREF_1"/>
      <w:r w:rsidR="00F07A8E">
        <w:rPr>
          <w:noProof/>
        </w:rPr>
        <w:t>Eugster, W. et al., 2007. Methodical study of nitrous oxide eddy covariance measurements using quantum cascade laser spectrometery over a Swiss forest. Biogeosciences, 4(5): 927-939.</w:t>
      </w:r>
      <w:bookmarkEnd w:id="0"/>
    </w:p>
    <w:p w:rsidR="00F07A8E" w:rsidRDefault="00F07A8E" w:rsidP="00F07A8E">
      <w:pPr>
        <w:pStyle w:val="ListParagraph"/>
        <w:ind w:hanging="720"/>
        <w:rPr>
          <w:noProof/>
        </w:rPr>
      </w:pPr>
      <w:bookmarkStart w:id="1" w:name="_ENREF_2"/>
      <w:r>
        <w:rPr>
          <w:noProof/>
        </w:rPr>
        <w:t>Jones, S.K. et al., 2011. Nitrous oxide emissions from managed grassland: a comparison of eddy covariance and static chamber measurements. Atmos. Meas. Tech., 4(10): 2179-2194.</w:t>
      </w:r>
      <w:bookmarkEnd w:id="1"/>
    </w:p>
    <w:p w:rsidR="00F07A8E" w:rsidRDefault="00F07A8E" w:rsidP="00F07A8E">
      <w:pPr>
        <w:pStyle w:val="ListParagraph"/>
        <w:ind w:hanging="720"/>
        <w:rPr>
          <w:noProof/>
        </w:rPr>
      </w:pPr>
      <w:bookmarkStart w:id="2" w:name="_ENREF_3"/>
      <w:r>
        <w:rPr>
          <w:noProof/>
        </w:rPr>
        <w:t>Pihlatie, M. et al., 2005. Nitrous oxide emissions from a beech forest floor measured by eddy covariance and soil enclosure techniques. Biogeosciences Discussions, 2(3): 581-607.</w:t>
      </w:r>
      <w:bookmarkEnd w:id="2"/>
    </w:p>
    <w:p w:rsidR="00F07A8E" w:rsidRDefault="00F07A8E" w:rsidP="00F07A8E">
      <w:pPr>
        <w:pStyle w:val="ListParagraph"/>
        <w:ind w:hanging="720"/>
        <w:rPr>
          <w:noProof/>
        </w:rPr>
      </w:pPr>
      <w:bookmarkStart w:id="3" w:name="_ENREF_4"/>
      <w:r>
        <w:rPr>
          <w:noProof/>
        </w:rPr>
        <w:t>Rafique, R., Hennessy, D. and Kiely, G., 2011. Nitrous oxide emission from grazed grassland under different management systems. Ecosystems, 14(4): 563-582.</w:t>
      </w:r>
      <w:bookmarkEnd w:id="3"/>
    </w:p>
    <w:p w:rsidR="00F07A8E" w:rsidRDefault="00F07A8E" w:rsidP="00F07A8E">
      <w:pPr>
        <w:pStyle w:val="ListParagraph"/>
        <w:ind w:hanging="720"/>
        <w:rPr>
          <w:noProof/>
        </w:rPr>
      </w:pPr>
      <w:bookmarkStart w:id="4" w:name="_ENREF_5"/>
      <w:r>
        <w:rPr>
          <w:noProof/>
        </w:rPr>
        <w:t>Schulze, E., Luyssaert, S., Ciais, P., Freibauer, A. and Janssens, I., 2009. Importance of methane and nitrous oxide for Europe's terrestrial greenhouse-gas balance. Nature Geoscience, 2(12): 842-850.</w:t>
      </w:r>
      <w:bookmarkEnd w:id="4"/>
    </w:p>
    <w:p w:rsidR="00446697" w:rsidRDefault="00F07A8E" w:rsidP="00C90845">
      <w:pPr>
        <w:pStyle w:val="ListParagraph"/>
        <w:ind w:hanging="720"/>
      </w:pPr>
      <w:bookmarkStart w:id="5" w:name="_ENREF_6"/>
      <w:r>
        <w:rPr>
          <w:noProof/>
        </w:rPr>
        <w:t xml:space="preserve">Solomon, S. et al., 2007. Climate Change 2007: The Physical Science Basis. Contribution of  working Group I to the Fourth Assessment Report of the Intergovernmental Panel on </w:t>
      </w:r>
      <w:r>
        <w:rPr>
          <w:noProof/>
        </w:rPr>
        <w:lastRenderedPageBreak/>
        <w:t>Climate Change. Cambridge University Press, Cambridge, United Kingdom and New York, NY, USA., 98</w:t>
      </w:r>
      <w:bookmarkStart w:id="6" w:name="_GoBack"/>
      <w:bookmarkEnd w:id="6"/>
      <w:r>
        <w:rPr>
          <w:noProof/>
        </w:rPr>
        <w:t>7 pp.</w:t>
      </w:r>
      <w:bookmarkEnd w:id="5"/>
      <w:r w:rsidR="00724690">
        <w:fldChar w:fldCharType="end"/>
      </w:r>
    </w:p>
    <w:sectPr w:rsidR="00446697" w:rsidSect="004274C0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AB" w:rsidRDefault="004654AB" w:rsidP="00446697">
      <w:r>
        <w:separator/>
      </w:r>
    </w:p>
  </w:endnote>
  <w:endnote w:type="continuationSeparator" w:id="0">
    <w:p w:rsidR="004654AB" w:rsidRDefault="004654AB" w:rsidP="004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80" w:rsidRDefault="00177980" w:rsidP="0032758B">
    <w:pPr>
      <w:pStyle w:val="Footer"/>
      <w:tabs>
        <w:tab w:val="clear" w:pos="4680"/>
        <w:tab w:val="clear" w:pos="9360"/>
        <w:tab w:val="center" w:pos="5103"/>
        <w:tab w:val="right" w:pos="10065"/>
      </w:tabs>
    </w:pPr>
    <w:r>
      <w:t>30nov2011</w:t>
    </w:r>
  </w:p>
  <w:p w:rsidR="00177980" w:rsidRDefault="00177980" w:rsidP="00CD4EFD">
    <w:pPr>
      <w:pStyle w:val="Footer"/>
      <w:tabs>
        <w:tab w:val="clear" w:pos="9360"/>
        <w:tab w:val="right" w:pos="8640"/>
      </w:tabs>
    </w:pPr>
    <w:r>
      <w:t>ATV</w:t>
    </w:r>
    <w:r>
      <w:tab/>
      <w:t>InGOS TNA application workplan</w:t>
    </w:r>
    <w:r>
      <w:tab/>
    </w:r>
    <w:r>
      <w:tab/>
    </w:r>
    <w:r w:rsidRPr="00CD4EFD"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5C1C00">
      <w:rPr>
        <w:noProof/>
      </w:rPr>
      <w:t>5</w:t>
    </w:r>
    <w:r>
      <w:rPr>
        <w:noProof/>
      </w:rPr>
      <w:fldChar w:fldCharType="end"/>
    </w:r>
    <w:r w:rsidRPr="00CD4EFD">
      <w:t xml:space="preserve"> ~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AB" w:rsidRDefault="004654AB" w:rsidP="00446697">
      <w:r>
        <w:separator/>
      </w:r>
    </w:p>
  </w:footnote>
  <w:footnote w:type="continuationSeparator" w:id="0">
    <w:p w:rsidR="004654AB" w:rsidRDefault="004654AB" w:rsidP="004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80" w:rsidRDefault="00177980" w:rsidP="00446697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2049375" cy="790575"/>
          <wp:effectExtent l="0" t="0" r="0" b="0"/>
          <wp:docPr id="1" name="Picture 0" descr="ingoslogo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slogo_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221" cy="791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12B"/>
    <w:multiLevelType w:val="hybridMultilevel"/>
    <w:tmpl w:val="0B982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ri Forest Meteorology&lt;/Style&gt;&lt;LeftDelim&gt;{&lt;/LeftDelim&gt;&lt;RightDelim&gt;}&lt;/RightDelim&gt;&lt;FontName&gt;Trebuchet M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9p220p0aetstle5rrtps2wfep9stpd2xap5&quot;&gt;ai_s-Converted&lt;record-ids&gt;&lt;item&gt;1854&lt;/item&gt;&lt;item&gt;2836&lt;/item&gt;&lt;item&gt;2837&lt;/item&gt;&lt;item&gt;2838&lt;/item&gt;&lt;item&gt;2839&lt;/item&gt;&lt;item&gt;2844&lt;/item&gt;&lt;/record-ids&gt;&lt;/item&gt;&lt;/Libraries&gt;"/>
  </w:docVars>
  <w:rsids>
    <w:rsidRoot w:val="00446697"/>
    <w:rsid w:val="00003548"/>
    <w:rsid w:val="00005ED1"/>
    <w:rsid w:val="000869BF"/>
    <w:rsid w:val="000E7C9A"/>
    <w:rsid w:val="00140770"/>
    <w:rsid w:val="00177980"/>
    <w:rsid w:val="002D14E9"/>
    <w:rsid w:val="0032758B"/>
    <w:rsid w:val="003E1DFB"/>
    <w:rsid w:val="004007C4"/>
    <w:rsid w:val="004274C0"/>
    <w:rsid w:val="00446697"/>
    <w:rsid w:val="004654AB"/>
    <w:rsid w:val="004F1CC9"/>
    <w:rsid w:val="005634C3"/>
    <w:rsid w:val="005C1C00"/>
    <w:rsid w:val="005F0316"/>
    <w:rsid w:val="00623663"/>
    <w:rsid w:val="006A223B"/>
    <w:rsid w:val="00724690"/>
    <w:rsid w:val="007448EA"/>
    <w:rsid w:val="00860996"/>
    <w:rsid w:val="00861515"/>
    <w:rsid w:val="008E1B49"/>
    <w:rsid w:val="00936FFB"/>
    <w:rsid w:val="00B26202"/>
    <w:rsid w:val="00BE06BB"/>
    <w:rsid w:val="00C90845"/>
    <w:rsid w:val="00CA1B5A"/>
    <w:rsid w:val="00CA42B3"/>
    <w:rsid w:val="00CD4EFD"/>
    <w:rsid w:val="00E05013"/>
    <w:rsid w:val="00E72258"/>
    <w:rsid w:val="00F07A8E"/>
    <w:rsid w:val="00F20757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697"/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6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6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6697"/>
    <w:rPr>
      <w:sz w:val="24"/>
      <w:szCs w:val="24"/>
    </w:rPr>
  </w:style>
  <w:style w:type="paragraph" w:styleId="Footer">
    <w:name w:val="footer"/>
    <w:basedOn w:val="Normal"/>
    <w:link w:val="FooterChar"/>
    <w:rsid w:val="00446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6697"/>
    <w:rPr>
      <w:sz w:val="24"/>
      <w:szCs w:val="24"/>
    </w:rPr>
  </w:style>
  <w:style w:type="paragraph" w:styleId="BalloonText">
    <w:name w:val="Balloon Text"/>
    <w:basedOn w:val="Normal"/>
    <w:link w:val="BalloonTextChar"/>
    <w:rsid w:val="00446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6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6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515"/>
    <w:pPr>
      <w:ind w:left="720"/>
      <w:contextualSpacing/>
    </w:pPr>
  </w:style>
  <w:style w:type="character" w:styleId="Hyperlink">
    <w:name w:val="Hyperlink"/>
    <w:basedOn w:val="DefaultParagraphFont"/>
    <w:rsid w:val="00724690"/>
    <w:rPr>
      <w:color w:val="0000FF" w:themeColor="hyperlink"/>
      <w:u w:val="single"/>
    </w:rPr>
  </w:style>
  <w:style w:type="table" w:styleId="TableGrid">
    <w:name w:val="Table Grid"/>
    <w:basedOn w:val="TableNormal"/>
    <w:rsid w:val="00140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ECN</Company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Vermeulen</dc:creator>
  <cp:keywords/>
  <dc:description/>
  <cp:lastModifiedBy>Andreas Ibrom</cp:lastModifiedBy>
  <cp:revision>7</cp:revision>
  <dcterms:created xsi:type="dcterms:W3CDTF">2011-11-30T13:15:00Z</dcterms:created>
  <dcterms:modified xsi:type="dcterms:W3CDTF">2013-04-15T10:02:00Z</dcterms:modified>
</cp:coreProperties>
</file>