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 xml:space="preserve">Detailed </w:t>
      </w:r>
      <w:proofErr w:type="spellStart"/>
      <w:r>
        <w:t>workplan</w:t>
      </w:r>
      <w:proofErr w:type="spellEnd"/>
      <w:r w:rsidR="00E160E3">
        <w:t xml:space="preserve"> for the r</w:t>
      </w:r>
      <w:r>
        <w:t xml:space="preserve">equest for </w:t>
      </w:r>
      <w:r w:rsidR="005634C3">
        <w:t xml:space="preserve">access to an infrastructure </w:t>
      </w:r>
      <w:proofErr w:type="spellStart"/>
      <w:r w:rsidR="00E160E3">
        <w:t>Risoe</w:t>
      </w:r>
      <w:proofErr w:type="spellEnd"/>
      <w:r w:rsidR="00E160E3">
        <w:t xml:space="preserve"> Willow field</w:t>
      </w:r>
      <w:r w:rsidR="004274C0">
        <w:t xml:space="preserve">. </w:t>
      </w:r>
    </w:p>
    <w:p w:rsidR="00861515" w:rsidRDefault="00861515"/>
    <w:p w:rsidR="00E160E3" w:rsidRDefault="00861515" w:rsidP="00F20757">
      <w:pPr>
        <w:pStyle w:val="ListParagraph"/>
        <w:numPr>
          <w:ilvl w:val="0"/>
          <w:numId w:val="1"/>
        </w:numPr>
        <w:ind w:left="360"/>
        <w:rPr>
          <w:b/>
        </w:rPr>
      </w:pPr>
      <w:r>
        <w:rPr>
          <w:b/>
        </w:rPr>
        <w:t>Project name</w:t>
      </w:r>
      <w:r w:rsidR="00E160E3">
        <w:rPr>
          <w:b/>
        </w:rPr>
        <w:t xml:space="preserve">: N2O </w:t>
      </w:r>
      <w:proofErr w:type="spellStart"/>
      <w:r w:rsidR="00E160E3">
        <w:rPr>
          <w:b/>
        </w:rPr>
        <w:t>intercomparison</w:t>
      </w:r>
      <w:proofErr w:type="spellEnd"/>
      <w:r w:rsidR="00E160E3">
        <w:rPr>
          <w:b/>
        </w:rPr>
        <w:t xml:space="preserve"> Denmark</w:t>
      </w:r>
    </w:p>
    <w:p w:rsidR="00E160E3" w:rsidRDefault="00E160E3" w:rsidP="00E160E3">
      <w:pPr>
        <w:pStyle w:val="ListParagraph"/>
        <w:numPr>
          <w:ilvl w:val="1"/>
          <w:numId w:val="2"/>
        </w:numPr>
        <w:rPr>
          <w:b/>
        </w:rPr>
      </w:pPr>
      <w:r>
        <w:rPr>
          <w:b/>
        </w:rPr>
        <w:t>N</w:t>
      </w:r>
      <w:r w:rsidR="00861515">
        <w:rPr>
          <w:b/>
        </w:rPr>
        <w:t>ame</w:t>
      </w:r>
      <w:r>
        <w:rPr>
          <w:b/>
        </w:rPr>
        <w:t xml:space="preserve">:  Arjan </w:t>
      </w:r>
      <w:proofErr w:type="spellStart"/>
      <w:r>
        <w:rPr>
          <w:b/>
        </w:rPr>
        <w:t>Hensen</w:t>
      </w:r>
      <w:proofErr w:type="spellEnd"/>
    </w:p>
    <w:p w:rsidR="00E160E3" w:rsidRDefault="00E160E3" w:rsidP="00E160E3">
      <w:pPr>
        <w:pStyle w:val="ListParagraph"/>
        <w:numPr>
          <w:ilvl w:val="1"/>
          <w:numId w:val="2"/>
        </w:numPr>
        <w:rPr>
          <w:b/>
        </w:rPr>
      </w:pPr>
      <w:r>
        <w:rPr>
          <w:b/>
        </w:rPr>
        <w:t xml:space="preserve">Contact : </w:t>
      </w:r>
      <w:hyperlink r:id="rId8" w:history="1">
        <w:r w:rsidRPr="008B2A7A">
          <w:rPr>
            <w:rStyle w:val="Hyperlink"/>
            <w:b/>
          </w:rPr>
          <w:t>hensen@ecn.nl</w:t>
        </w:r>
      </w:hyperlink>
    </w:p>
    <w:p w:rsidR="00E160E3" w:rsidRDefault="00E160E3" w:rsidP="00E160E3">
      <w:pPr>
        <w:pStyle w:val="ListParagraph"/>
        <w:numPr>
          <w:ilvl w:val="1"/>
          <w:numId w:val="2"/>
        </w:numPr>
        <w:rPr>
          <w:b/>
        </w:rPr>
      </w:pPr>
      <w:r>
        <w:rPr>
          <w:b/>
        </w:rPr>
        <w:t>Duration:  3 day setup, 4 weeks on line assistance, 2 day repatriation</w:t>
      </w:r>
    </w:p>
    <w:p w:rsidR="00E160E3" w:rsidRDefault="00E160E3" w:rsidP="00E160E3">
      <w:pPr>
        <w:pStyle w:val="ListParagraph"/>
        <w:numPr>
          <w:ilvl w:val="1"/>
          <w:numId w:val="2"/>
        </w:numPr>
        <w:rPr>
          <w:b/>
        </w:rPr>
      </w:pPr>
      <w:proofErr w:type="spellStart"/>
      <w:r>
        <w:rPr>
          <w:b/>
        </w:rPr>
        <w:t>RWd’s</w:t>
      </w:r>
      <w:proofErr w:type="spellEnd"/>
      <w:r>
        <w:rPr>
          <w:b/>
        </w:rPr>
        <w:t xml:space="preserve"> : 10</w:t>
      </w:r>
    </w:p>
    <w:p w:rsidR="00E160E3" w:rsidRDefault="00E160E3" w:rsidP="00E160E3">
      <w:pPr>
        <w:pStyle w:val="ListParagraph"/>
        <w:numPr>
          <w:ilvl w:val="1"/>
          <w:numId w:val="2"/>
        </w:numPr>
        <w:rPr>
          <w:b/>
        </w:rPr>
      </w:pPr>
      <w:r>
        <w:rPr>
          <w:b/>
        </w:rPr>
        <w:t xml:space="preserve">Site: </w:t>
      </w:r>
      <w:proofErr w:type="spellStart"/>
      <w:r>
        <w:rPr>
          <w:b/>
        </w:rPr>
        <w:t>Risoe</w:t>
      </w:r>
      <w:proofErr w:type="spellEnd"/>
      <w:r>
        <w:rPr>
          <w:b/>
        </w:rPr>
        <w:t xml:space="preserve"> Willow field</w:t>
      </w:r>
    </w:p>
    <w:p w:rsidR="00E160E3" w:rsidRPr="00E160E3" w:rsidRDefault="00E160E3" w:rsidP="00E160E3">
      <w:pPr>
        <w:rPr>
          <w:b/>
        </w:rPr>
      </w:pPr>
    </w:p>
    <w:p w:rsidR="00861515" w:rsidRDefault="00861515" w:rsidP="00F20757">
      <w:pPr>
        <w:rPr>
          <w:b/>
        </w:rPr>
      </w:pPr>
    </w:p>
    <w:p w:rsidR="00861515" w:rsidRDefault="00861515" w:rsidP="00F20757">
      <w:pPr>
        <w:pStyle w:val="ListParagraph"/>
        <w:numPr>
          <w:ilvl w:val="0"/>
          <w:numId w:val="1"/>
        </w:numPr>
        <w:ind w:left="360"/>
        <w:rPr>
          <w:b/>
        </w:rPr>
      </w:pPr>
      <w:r>
        <w:rPr>
          <w:b/>
        </w:rPr>
        <w:t>Background</w:t>
      </w:r>
    </w:p>
    <w:p w:rsidR="008E2800" w:rsidRDefault="008E2800" w:rsidP="008E2800">
      <w:pPr>
        <w:ind w:left="360"/>
        <w:jc w:val="both"/>
      </w:pPr>
      <w:r>
        <w:t>Measurements of greenhouse gas fluxes from soils are still associated with great uncertainty due to insufficient methodologies. GHG budgets are consequently inexact, and there’s a need for improved approaches to improve current estimates. Recent developments have led to new instruments for real-time determination N</w:t>
      </w:r>
      <w:r w:rsidRPr="008E2800">
        <w:rPr>
          <w:vertAlign w:val="subscript"/>
        </w:rPr>
        <w:t>2</w:t>
      </w:r>
      <w:r>
        <w:t>O concentrations in air that opens for new approaches to determine surface N2O fluxes. Fast response and sensitive instruments (e.g. QCL and Off-axis instruments) have the potential to be used in combination with conventional flux chambers and thereby achieve significant reductions on chamber closure times combined with the use of a number of increased chambers to cover spatial variability. Moreover, the new instruments are also applicable for use with micro-meteorological techniques (EC, gradients) as means to determine fluxes at the field scale. Meanwhile, knowledge on the suitability for the different approaches and their performances under realistic, environmental conditions is sparse, and there is a need for more thorough method inter-comparison for verification and improvement.</w:t>
      </w:r>
    </w:p>
    <w:p w:rsidR="008E2800" w:rsidRDefault="008E2800" w:rsidP="008E2800">
      <w:pPr>
        <w:ind w:left="360"/>
        <w:jc w:val="both"/>
      </w:pPr>
    </w:p>
    <w:p w:rsidR="008E2800" w:rsidRDefault="00861515" w:rsidP="008E2800">
      <w:pPr>
        <w:ind w:left="360"/>
        <w:jc w:val="both"/>
      </w:pPr>
      <w:r w:rsidRPr="00F20757">
        <w:t>Previous research relevant to the topic and how the proposed project links to this</w:t>
      </w:r>
    </w:p>
    <w:p w:rsidR="008E2800" w:rsidRPr="008E2800" w:rsidRDefault="008E2800" w:rsidP="008E2800">
      <w:pPr>
        <w:ind w:left="1077" w:hanging="720"/>
        <w:jc w:val="both"/>
        <w:rPr>
          <w:sz w:val="20"/>
        </w:rPr>
      </w:pPr>
      <w:r w:rsidRPr="008E2800">
        <w:rPr>
          <w:sz w:val="20"/>
        </w:rPr>
        <w:t xml:space="preserve">Kroon, PS, </w:t>
      </w:r>
      <w:proofErr w:type="spellStart"/>
      <w:r w:rsidRPr="008E2800">
        <w:rPr>
          <w:sz w:val="20"/>
        </w:rPr>
        <w:t>Hensen</w:t>
      </w:r>
      <w:proofErr w:type="spellEnd"/>
      <w:r w:rsidRPr="008E2800">
        <w:rPr>
          <w:sz w:val="20"/>
        </w:rPr>
        <w:t xml:space="preserve">, A, Jonker, HJJ, </w:t>
      </w:r>
      <w:proofErr w:type="spellStart"/>
      <w:r w:rsidRPr="008E2800">
        <w:rPr>
          <w:sz w:val="20"/>
        </w:rPr>
        <w:t>Zahniser</w:t>
      </w:r>
      <w:proofErr w:type="spellEnd"/>
      <w:r w:rsidRPr="008E2800">
        <w:rPr>
          <w:sz w:val="20"/>
        </w:rPr>
        <w:t xml:space="preserve">, MS, </w:t>
      </w:r>
      <w:proofErr w:type="spellStart"/>
      <w:r w:rsidRPr="008E2800">
        <w:rPr>
          <w:sz w:val="20"/>
        </w:rPr>
        <w:t>Veen</w:t>
      </w:r>
      <w:proofErr w:type="spellEnd"/>
      <w:r w:rsidRPr="008E2800">
        <w:rPr>
          <w:sz w:val="20"/>
        </w:rPr>
        <w:t xml:space="preserve">, WH van 't &amp; Vermeulen, A., 2007: Suitability of quantum cascade laser spectroscopy for CH4 and N2O eddy covariance flux measurements. </w:t>
      </w:r>
      <w:proofErr w:type="spellStart"/>
      <w:r w:rsidRPr="008E2800">
        <w:rPr>
          <w:sz w:val="20"/>
        </w:rPr>
        <w:t>Biogeosciences</w:t>
      </w:r>
      <w:proofErr w:type="spellEnd"/>
      <w:r w:rsidRPr="008E2800">
        <w:rPr>
          <w:sz w:val="20"/>
        </w:rPr>
        <w:t>, 4, 715-728.</w:t>
      </w:r>
    </w:p>
    <w:p w:rsidR="008E2800" w:rsidRPr="008E2800" w:rsidRDefault="008E2800" w:rsidP="008E2800">
      <w:pPr>
        <w:ind w:left="1077" w:hanging="720"/>
        <w:jc w:val="both"/>
        <w:rPr>
          <w:sz w:val="20"/>
        </w:rPr>
      </w:pPr>
      <w:r w:rsidRPr="008E2800">
        <w:rPr>
          <w:sz w:val="20"/>
        </w:rPr>
        <w:t xml:space="preserve">Kroon, P.S., </w:t>
      </w:r>
      <w:proofErr w:type="spellStart"/>
      <w:r w:rsidRPr="008E2800">
        <w:rPr>
          <w:sz w:val="20"/>
        </w:rPr>
        <w:t>Hensen</w:t>
      </w:r>
      <w:proofErr w:type="spellEnd"/>
      <w:r w:rsidRPr="008E2800">
        <w:rPr>
          <w:sz w:val="20"/>
        </w:rPr>
        <w:t xml:space="preserve">, A., van den Bulk, W.C.M., </w:t>
      </w:r>
      <w:proofErr w:type="spellStart"/>
      <w:r w:rsidRPr="008E2800">
        <w:rPr>
          <w:sz w:val="20"/>
        </w:rPr>
        <w:t>Jongejan</w:t>
      </w:r>
      <w:proofErr w:type="spellEnd"/>
      <w:r w:rsidRPr="008E2800">
        <w:rPr>
          <w:sz w:val="20"/>
        </w:rPr>
        <w:t>, P.A.C., Vermeulen, A.T., 2008: The importance of reducing the systematic error due to non-linearity in N2O flux measure-</w:t>
      </w:r>
      <w:proofErr w:type="spellStart"/>
      <w:r w:rsidRPr="008E2800">
        <w:rPr>
          <w:sz w:val="20"/>
        </w:rPr>
        <w:t>ments</w:t>
      </w:r>
      <w:proofErr w:type="spellEnd"/>
      <w:r w:rsidRPr="008E2800">
        <w:rPr>
          <w:sz w:val="20"/>
        </w:rPr>
        <w:t xml:space="preserve"> by static chambers. </w:t>
      </w:r>
      <w:proofErr w:type="spellStart"/>
      <w:r w:rsidRPr="008E2800">
        <w:rPr>
          <w:sz w:val="20"/>
        </w:rPr>
        <w:t>Nutr</w:t>
      </w:r>
      <w:proofErr w:type="spellEnd"/>
      <w:r w:rsidRPr="008E2800">
        <w:rPr>
          <w:sz w:val="20"/>
        </w:rPr>
        <w:t xml:space="preserve">. </w:t>
      </w:r>
      <w:proofErr w:type="spellStart"/>
      <w:r w:rsidRPr="008E2800">
        <w:rPr>
          <w:sz w:val="20"/>
        </w:rPr>
        <w:t>Cycl</w:t>
      </w:r>
      <w:proofErr w:type="spellEnd"/>
      <w:r w:rsidRPr="008E2800">
        <w:rPr>
          <w:sz w:val="20"/>
        </w:rPr>
        <w:t xml:space="preserve">. </w:t>
      </w:r>
      <w:proofErr w:type="spellStart"/>
      <w:r w:rsidRPr="008E2800">
        <w:rPr>
          <w:sz w:val="20"/>
        </w:rPr>
        <w:t>Agroecosyst</w:t>
      </w:r>
      <w:proofErr w:type="spellEnd"/>
      <w:r w:rsidRPr="008E2800">
        <w:rPr>
          <w:sz w:val="20"/>
        </w:rPr>
        <w:t>. 82, 175–186, doi:10.1007/s10705-008-9179-x.</w:t>
      </w:r>
    </w:p>
    <w:p w:rsidR="008E2800" w:rsidRPr="008E2800" w:rsidRDefault="008E2800" w:rsidP="008E2800">
      <w:pPr>
        <w:ind w:left="1077" w:hanging="720"/>
        <w:jc w:val="both"/>
        <w:rPr>
          <w:sz w:val="20"/>
        </w:rPr>
      </w:pPr>
      <w:r w:rsidRPr="008E2800">
        <w:rPr>
          <w:sz w:val="20"/>
        </w:rPr>
        <w:t xml:space="preserve">Kroon, P. S., </w:t>
      </w:r>
      <w:proofErr w:type="spellStart"/>
      <w:r w:rsidRPr="008E2800">
        <w:rPr>
          <w:sz w:val="20"/>
        </w:rPr>
        <w:t>Hensen</w:t>
      </w:r>
      <w:proofErr w:type="spellEnd"/>
      <w:r w:rsidRPr="008E2800">
        <w:rPr>
          <w:sz w:val="20"/>
        </w:rPr>
        <w:t xml:space="preserve">, A., Jonker, H. J. J., </w:t>
      </w:r>
      <w:proofErr w:type="spellStart"/>
      <w:r w:rsidRPr="008E2800">
        <w:rPr>
          <w:sz w:val="20"/>
        </w:rPr>
        <w:t>Ouwersloot</w:t>
      </w:r>
      <w:proofErr w:type="spellEnd"/>
      <w:r w:rsidRPr="008E2800">
        <w:rPr>
          <w:sz w:val="20"/>
        </w:rPr>
        <w:t xml:space="preserve">, H. G., Vermeulen, A. T., and </w:t>
      </w:r>
      <w:proofErr w:type="spellStart"/>
      <w:r w:rsidRPr="008E2800">
        <w:rPr>
          <w:sz w:val="20"/>
        </w:rPr>
        <w:t>Bosveld</w:t>
      </w:r>
      <w:proofErr w:type="spellEnd"/>
      <w:r w:rsidRPr="008E2800">
        <w:rPr>
          <w:sz w:val="20"/>
        </w:rPr>
        <w:t xml:space="preserve">, F. C., 2010: Uncertainties in eddy covariance flux measurements assessed from CH4 and N2O observations, </w:t>
      </w:r>
      <w:proofErr w:type="spellStart"/>
      <w:r w:rsidRPr="008E2800">
        <w:rPr>
          <w:sz w:val="20"/>
        </w:rPr>
        <w:t>Agr</w:t>
      </w:r>
      <w:proofErr w:type="spellEnd"/>
      <w:r w:rsidRPr="008E2800">
        <w:rPr>
          <w:sz w:val="20"/>
        </w:rPr>
        <w:t xml:space="preserve">. </w:t>
      </w:r>
      <w:proofErr w:type="spellStart"/>
      <w:r w:rsidRPr="008E2800">
        <w:rPr>
          <w:sz w:val="20"/>
        </w:rPr>
        <w:t>Ecosyst</w:t>
      </w:r>
      <w:proofErr w:type="spellEnd"/>
      <w:r w:rsidRPr="008E2800">
        <w:rPr>
          <w:sz w:val="20"/>
        </w:rPr>
        <w:t>. Environ., 150, 806–816..</w:t>
      </w:r>
    </w:p>
    <w:p w:rsidR="00FC51A4" w:rsidRDefault="008E2800" w:rsidP="00FC51A4">
      <w:pPr>
        <w:ind w:left="1077" w:hanging="720"/>
        <w:jc w:val="both"/>
      </w:pPr>
      <w:r w:rsidRPr="008E2800">
        <w:rPr>
          <w:sz w:val="20"/>
        </w:rPr>
        <w:t>Kroon, P. S., Schrier-</w:t>
      </w:r>
      <w:proofErr w:type="spellStart"/>
      <w:r w:rsidRPr="008E2800">
        <w:rPr>
          <w:sz w:val="20"/>
        </w:rPr>
        <w:t>Uijl</w:t>
      </w:r>
      <w:proofErr w:type="spellEnd"/>
      <w:r w:rsidRPr="008E2800">
        <w:rPr>
          <w:sz w:val="20"/>
        </w:rPr>
        <w:t xml:space="preserve"> A. P., </w:t>
      </w:r>
      <w:proofErr w:type="spellStart"/>
      <w:r w:rsidRPr="008E2800">
        <w:rPr>
          <w:sz w:val="20"/>
        </w:rPr>
        <w:t>Hensen</w:t>
      </w:r>
      <w:proofErr w:type="spellEnd"/>
      <w:r w:rsidRPr="008E2800">
        <w:rPr>
          <w:sz w:val="20"/>
        </w:rPr>
        <w:t xml:space="preserve"> A., Veenendaal E. M., Jonker H. J. J., 2010: Annual balances of CH4 and N2O from a managed fen meadow using eddy covariance flux measurements. Eur. J. Soil Sc. 61,2010</w:t>
      </w:r>
      <w:r w:rsidR="00FC51A4" w:rsidRPr="00FC51A4">
        <w:t xml:space="preserve"> </w:t>
      </w:r>
    </w:p>
    <w:p w:rsidR="008E2800" w:rsidRPr="008E2800" w:rsidRDefault="00FC51A4" w:rsidP="00FC51A4">
      <w:pPr>
        <w:ind w:left="1077" w:hanging="720"/>
        <w:jc w:val="both"/>
        <w:rPr>
          <w:sz w:val="20"/>
        </w:rPr>
      </w:pPr>
      <w:proofErr w:type="spellStart"/>
      <w:r w:rsidRPr="00FC51A4">
        <w:rPr>
          <w:sz w:val="20"/>
        </w:rPr>
        <w:t>Hensen,</w:t>
      </w:r>
      <w:r>
        <w:rPr>
          <w:sz w:val="20"/>
        </w:rPr>
        <w:t>A</w:t>
      </w:r>
      <w:proofErr w:type="spellEnd"/>
      <w:r>
        <w:rPr>
          <w:sz w:val="20"/>
        </w:rPr>
        <w:t>.</w:t>
      </w:r>
      <w:r w:rsidRPr="00FC51A4">
        <w:rPr>
          <w:sz w:val="20"/>
        </w:rPr>
        <w:t xml:space="preserve"> Methods for observation and quantification</w:t>
      </w:r>
      <w:r>
        <w:rPr>
          <w:sz w:val="20"/>
        </w:rPr>
        <w:t xml:space="preserve"> </w:t>
      </w:r>
      <w:r w:rsidRPr="00FC51A4">
        <w:rPr>
          <w:sz w:val="20"/>
        </w:rPr>
        <w:t>of trace gas emissions from diffu</w:t>
      </w:r>
      <w:r>
        <w:rPr>
          <w:sz w:val="20"/>
        </w:rPr>
        <w:t xml:space="preserve">se sources, thesis VU Amsterdam, </w:t>
      </w:r>
      <w:r w:rsidRPr="00FC51A4">
        <w:rPr>
          <w:sz w:val="20"/>
        </w:rPr>
        <w:t>2012</w:t>
      </w:r>
    </w:p>
    <w:p w:rsidR="008E2800" w:rsidRDefault="008E2800" w:rsidP="008E2800">
      <w:pPr>
        <w:ind w:left="360"/>
        <w:jc w:val="both"/>
      </w:pPr>
    </w:p>
    <w:p w:rsidR="008E2800" w:rsidRDefault="008E2800" w:rsidP="008E2800">
      <w:pPr>
        <w:ind w:left="360"/>
        <w:jc w:val="both"/>
      </w:pPr>
    </w:p>
    <w:p w:rsidR="008E2800" w:rsidRDefault="008E2800" w:rsidP="008E2800">
      <w:pPr>
        <w:ind w:left="360"/>
        <w:jc w:val="both"/>
      </w:pPr>
    </w:p>
    <w:p w:rsidR="00861515" w:rsidRPr="00F20757" w:rsidRDefault="00861515" w:rsidP="008E2800">
      <w:pPr>
        <w:ind w:left="360"/>
        <w:jc w:val="both"/>
      </w:pPr>
      <w:r w:rsidRPr="00F20757">
        <w:t>Links with current research of the applicant</w:t>
      </w:r>
    </w:p>
    <w:p w:rsidR="008E2800" w:rsidRPr="008E2800" w:rsidRDefault="008E2800" w:rsidP="00F20757">
      <w:pPr>
        <w:pStyle w:val="ListParagraph"/>
        <w:ind w:left="360"/>
      </w:pPr>
      <w:r w:rsidRPr="008E2800">
        <w:tab/>
      </w:r>
      <w:r>
        <w:t xml:space="preserve">ICOS preparatory phase: </w:t>
      </w:r>
      <w:r w:rsidRPr="008E2800">
        <w:t>http://www.icos-infrastructure.nl/</w:t>
      </w:r>
    </w:p>
    <w:p w:rsidR="008E2800" w:rsidRPr="008E2800" w:rsidRDefault="008E2800" w:rsidP="008E2800">
      <w:pPr>
        <w:pStyle w:val="ListParagraph"/>
        <w:ind w:left="360" w:firstLine="360"/>
      </w:pPr>
      <w:r w:rsidRPr="008E2800">
        <w:t>Cost action: http://www.abba.ethz.ch/</w:t>
      </w:r>
    </w:p>
    <w:p w:rsidR="008E2800" w:rsidRPr="008E2800" w:rsidRDefault="008E2800" w:rsidP="00F20757">
      <w:pPr>
        <w:pStyle w:val="ListParagraph"/>
        <w:ind w:left="360"/>
      </w:pPr>
    </w:p>
    <w:p w:rsidR="008E2800" w:rsidRPr="00861515" w:rsidRDefault="008E2800" w:rsidP="00F20757">
      <w:pPr>
        <w:pStyle w:val="ListParagraph"/>
        <w:ind w:left="360"/>
        <w:rPr>
          <w:b/>
        </w:rPr>
      </w:pPr>
    </w:p>
    <w:p w:rsidR="00861515" w:rsidRDefault="00861515" w:rsidP="00F20757">
      <w:pPr>
        <w:pStyle w:val="ListParagraph"/>
        <w:numPr>
          <w:ilvl w:val="0"/>
          <w:numId w:val="1"/>
        </w:numPr>
        <w:ind w:left="360"/>
        <w:rPr>
          <w:b/>
        </w:rPr>
      </w:pPr>
      <w:r>
        <w:rPr>
          <w:b/>
        </w:rPr>
        <w:t>Objectives</w:t>
      </w:r>
    </w:p>
    <w:p w:rsidR="008E2800" w:rsidRDefault="008E2800" w:rsidP="008E2800">
      <w:pPr>
        <w:ind w:left="360"/>
        <w:jc w:val="both"/>
      </w:pPr>
      <w:r>
        <w:t xml:space="preserve">The proposed research activity has the objective to perform an inter-comparison of multiple chamber- and micro-meteorologically based techniques to study soil surface effluxes of nitrous oxide. The different combinations of analyzers and accessories included in the campaign are: </w:t>
      </w:r>
      <w:proofErr w:type="spellStart"/>
      <w:r>
        <w:t>chamber+GC</w:t>
      </w:r>
      <w:proofErr w:type="spellEnd"/>
      <w:r>
        <w:t xml:space="preserve"> – </w:t>
      </w:r>
      <w:proofErr w:type="spellStart"/>
      <w:r>
        <w:t>chamber+QCL</w:t>
      </w:r>
      <w:proofErr w:type="spellEnd"/>
      <w:r>
        <w:t xml:space="preserve"> – </w:t>
      </w:r>
      <w:proofErr w:type="spellStart"/>
      <w:r>
        <w:t>chamber+FTIR</w:t>
      </w:r>
      <w:proofErr w:type="spellEnd"/>
      <w:r>
        <w:t xml:space="preserve"> – EC+LGR – EC+QCL. Thus, the conventional </w:t>
      </w:r>
      <w:proofErr w:type="spellStart"/>
      <w:r>
        <w:t>chamber+GC</w:t>
      </w:r>
      <w:proofErr w:type="spellEnd"/>
      <w:r>
        <w:t xml:space="preserve"> method will be compared with more recent “state-of-the-art” methodologies, and the new generation of analyzers will be tested for performance both with chamber based approaches and micro-</w:t>
      </w:r>
      <w:proofErr w:type="spellStart"/>
      <w:r>
        <w:t>mets</w:t>
      </w:r>
      <w:proofErr w:type="spellEnd"/>
      <w:r>
        <w:t>.</w:t>
      </w:r>
    </w:p>
    <w:p w:rsidR="008E2800" w:rsidRDefault="008E2800" w:rsidP="008E2800">
      <w:pPr>
        <w:ind w:left="360"/>
      </w:pPr>
    </w:p>
    <w:p w:rsidR="008E2800" w:rsidRDefault="008E2800" w:rsidP="008E2800">
      <w:pPr>
        <w:ind w:left="360"/>
      </w:pPr>
      <w:r>
        <w:t xml:space="preserve">The activity conforms strictly with the several of the objectives of </w:t>
      </w:r>
      <w:proofErr w:type="spellStart"/>
      <w:r>
        <w:t>InGOS</w:t>
      </w:r>
      <w:proofErr w:type="spellEnd"/>
      <w:r>
        <w:t>, i.e. to “Harmonize and standardize the measurements” and to “”Improve measurement methods by testing new innovative techniques and strategies”.</w:t>
      </w:r>
    </w:p>
    <w:p w:rsidR="008E2800" w:rsidRDefault="008E2800" w:rsidP="008E2800">
      <w:pPr>
        <w:ind w:left="360"/>
      </w:pPr>
    </w:p>
    <w:p w:rsidR="00861515" w:rsidRDefault="008E2800" w:rsidP="008E2800">
      <w:pPr>
        <w:ind w:left="360"/>
      </w:pPr>
      <w:r>
        <w:t>The RISO Willow super site has an excellent infrastructure to perform this campaign, and moreover the site will be managed accordingly to achieve expected high N2O effluxes during the campaign.</w:t>
      </w:r>
    </w:p>
    <w:p w:rsidR="008E2800" w:rsidRPr="008E2800" w:rsidRDefault="008E2800" w:rsidP="008E2800">
      <w:pPr>
        <w:ind w:left="360"/>
        <w:rPr>
          <w:b/>
        </w:rPr>
      </w:pPr>
    </w:p>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861515" w:rsidRDefault="00861515" w:rsidP="00F20757">
      <w:pPr>
        <w:pStyle w:val="ListParagraph"/>
        <w:numPr>
          <w:ilvl w:val="1"/>
          <w:numId w:val="1"/>
        </w:numPr>
        <w:ind w:left="1080"/>
      </w:pPr>
      <w:r w:rsidRPr="00F20757">
        <w:t>Research method</w:t>
      </w:r>
      <w:r w:rsidR="00F20757" w:rsidRPr="00F20757">
        <w:t>, explaining how to reach the objective</w:t>
      </w:r>
    </w:p>
    <w:p w:rsidR="00FC51A4" w:rsidRDefault="00FC51A4" w:rsidP="00FC51A4">
      <w:pPr>
        <w:ind w:left="1080"/>
      </w:pPr>
      <w:r>
        <w:t xml:space="preserve">ECN will apply the eddy covariance technique to  evaluate the emissions upwind of a small 2 m tower.  These data should provide 15 minute resolution data on the dynamics of the N2O (and CH4) emission pattern. The data will be available for comparison with the other techniques on site. Aim is both to get a better understanding of the emission process and to improve the measurement  methodology  to assess these emissions.    </w:t>
      </w:r>
    </w:p>
    <w:p w:rsidR="00FC51A4" w:rsidRPr="00F20757" w:rsidRDefault="00FC51A4" w:rsidP="00FC51A4">
      <w:pPr>
        <w:ind w:left="1080"/>
      </w:pPr>
    </w:p>
    <w:p w:rsidR="00FC51A4" w:rsidRDefault="00F20757" w:rsidP="00FC51A4">
      <w:pPr>
        <w:pStyle w:val="ListParagraph"/>
        <w:numPr>
          <w:ilvl w:val="1"/>
          <w:numId w:val="1"/>
        </w:numPr>
        <w:ind w:left="1080"/>
      </w:pPr>
      <w:r w:rsidRPr="00F20757">
        <w:t>Research materials</w:t>
      </w:r>
      <w:r>
        <w:t>, instrumentation</w:t>
      </w:r>
    </w:p>
    <w:p w:rsidR="00FC51A4" w:rsidRDefault="00FC51A4" w:rsidP="00FC51A4">
      <w:pPr>
        <w:ind w:left="1080"/>
      </w:pPr>
      <w:r>
        <w:t>ECN will provide the QCL instrument linke</w:t>
      </w:r>
      <w:r>
        <w:t>d</w:t>
      </w:r>
      <w:r>
        <w:t xml:space="preserve"> with a sonic anemometer.  With this instrument  CH</w:t>
      </w:r>
      <w:r w:rsidRPr="00FC51A4">
        <w:rPr>
          <w:vertAlign w:val="subscript"/>
        </w:rPr>
        <w:t>4</w:t>
      </w:r>
      <w:r>
        <w:t>, N</w:t>
      </w:r>
      <w:r w:rsidRPr="00FC51A4">
        <w:rPr>
          <w:vertAlign w:val="subscript"/>
        </w:rPr>
        <w:t>2</w:t>
      </w:r>
      <w:r>
        <w:t>O and H</w:t>
      </w:r>
      <w:r w:rsidRPr="00FC51A4">
        <w:rPr>
          <w:vertAlign w:val="subscript"/>
        </w:rPr>
        <w:t>2</w:t>
      </w:r>
      <w:r>
        <w:t xml:space="preserve">O will be measured simultaneously  the data will be made available for further processing. </w:t>
      </w:r>
    </w:p>
    <w:p w:rsidR="00FC51A4" w:rsidRDefault="00FC51A4" w:rsidP="00FC51A4">
      <w:pPr>
        <w:pStyle w:val="ListParagraph"/>
      </w:pPr>
    </w:p>
    <w:p w:rsidR="00F20757" w:rsidRPr="00F20757" w:rsidRDefault="00F20757" w:rsidP="00F20757">
      <w:pPr>
        <w:pStyle w:val="ListParagraph"/>
        <w:numPr>
          <w:ilvl w:val="1"/>
          <w:numId w:val="1"/>
        </w:numPr>
        <w:ind w:left="1080"/>
      </w:pPr>
      <w:r w:rsidRPr="00F20757">
        <w:t>Governance procedures, safety precautions, permit requirements and procedures</w:t>
      </w:r>
    </w:p>
    <w:p w:rsidR="00861515" w:rsidRPr="00FC51A4" w:rsidRDefault="00FC51A4" w:rsidP="00FC51A4">
      <w:pPr>
        <w:pStyle w:val="ListParagraph"/>
        <w:ind w:left="1080"/>
      </w:pPr>
      <w:r w:rsidRPr="00FC51A4">
        <w:t>No govern</w:t>
      </w:r>
      <w:r>
        <w:t>an</w:t>
      </w:r>
      <w:r w:rsidRPr="00FC51A4">
        <w:t>ce or permit issues are foreseen</w:t>
      </w:r>
      <w:r>
        <w:t>.</w:t>
      </w:r>
    </w:p>
    <w:p w:rsidR="00FC51A4" w:rsidRDefault="00FC51A4" w:rsidP="00F20757">
      <w:pPr>
        <w:pStyle w:val="ListParagraph"/>
        <w:ind w:left="360"/>
        <w:rPr>
          <w:b/>
        </w:rPr>
      </w:pPr>
    </w:p>
    <w:p w:rsidR="00FC51A4" w:rsidRDefault="00FC51A4" w:rsidP="00F20757">
      <w:pPr>
        <w:pStyle w:val="ListParagraph"/>
        <w:ind w:left="360"/>
        <w:rPr>
          <w:b/>
        </w:rPr>
      </w:pPr>
    </w:p>
    <w:p w:rsidR="00FC51A4" w:rsidRDefault="00FC51A4" w:rsidP="00F20757">
      <w:pPr>
        <w:pStyle w:val="ListParagraph"/>
        <w:ind w:left="360"/>
        <w:rPr>
          <w:b/>
        </w:rPr>
      </w:pPr>
    </w:p>
    <w:p w:rsidR="00FC51A4" w:rsidRPr="00861515" w:rsidRDefault="00FC51A4" w:rsidP="00F20757">
      <w:pPr>
        <w:pStyle w:val="ListParagraph"/>
        <w:ind w:left="360"/>
        <w:rPr>
          <w:b/>
        </w:rPr>
      </w:pPr>
    </w:p>
    <w:p w:rsidR="00861515" w:rsidRDefault="00861515" w:rsidP="00F20757">
      <w:pPr>
        <w:pStyle w:val="ListParagraph"/>
        <w:numPr>
          <w:ilvl w:val="0"/>
          <w:numId w:val="1"/>
        </w:numPr>
        <w:ind w:left="360"/>
        <w:rPr>
          <w:b/>
        </w:rPr>
      </w:pPr>
      <w:proofErr w:type="spellStart"/>
      <w:r>
        <w:rPr>
          <w:b/>
        </w:rPr>
        <w:lastRenderedPageBreak/>
        <w:t>Implementaton</w:t>
      </w:r>
      <w:proofErr w:type="spellEnd"/>
      <w:r>
        <w:rPr>
          <w:b/>
        </w:rPr>
        <w:t>: timetable, budget, distribution of work</w:t>
      </w:r>
    </w:p>
    <w:p w:rsidR="00F20757" w:rsidRPr="00F20757" w:rsidRDefault="00F20757" w:rsidP="00F20757">
      <w:pPr>
        <w:pStyle w:val="ListParagraph"/>
        <w:numPr>
          <w:ilvl w:val="1"/>
          <w:numId w:val="1"/>
        </w:numPr>
        <w:ind w:left="1080"/>
      </w:pPr>
      <w:r w:rsidRPr="00F20757">
        <w:t>Timetable for the research including personnel efforts, favorably table wise</w:t>
      </w:r>
    </w:p>
    <w:p w:rsidR="00F20757" w:rsidRPr="00F20757" w:rsidRDefault="00F20757" w:rsidP="00F20757">
      <w:pPr>
        <w:pStyle w:val="ListParagraph"/>
        <w:numPr>
          <w:ilvl w:val="1"/>
          <w:numId w:val="1"/>
        </w:numPr>
        <w:ind w:left="1080"/>
      </w:pPr>
      <w:r w:rsidRPr="00F20757">
        <w:t xml:space="preserve">Total budget for travel and logistical support as requested </w:t>
      </w:r>
    </w:p>
    <w:p w:rsidR="00F20757" w:rsidRDefault="00F20757" w:rsidP="00F20757">
      <w:pPr>
        <w:pStyle w:val="ListParagraph"/>
        <w:numPr>
          <w:ilvl w:val="1"/>
          <w:numId w:val="1"/>
        </w:numPr>
        <w:ind w:left="1080"/>
      </w:pPr>
      <w:r w:rsidRPr="00F20757">
        <w:t xml:space="preserve">Plan for specific </w:t>
      </w:r>
      <w:proofErr w:type="spellStart"/>
      <w:r w:rsidRPr="00F20757">
        <w:t>logistal</w:t>
      </w:r>
      <w:proofErr w:type="spellEnd"/>
      <w:r w:rsidRPr="00F20757">
        <w:t xml:space="preserve"> needs like visa, import/export licenses etc.</w:t>
      </w:r>
    </w:p>
    <w:p w:rsidR="00FC51A4" w:rsidRDefault="00FC51A4" w:rsidP="00FC51A4">
      <w:pPr>
        <w:pStyle w:val="ListParagraph"/>
        <w:jc w:val="both"/>
      </w:pPr>
    </w:p>
    <w:p w:rsidR="00FC51A4" w:rsidRDefault="00FC51A4" w:rsidP="00FC51A4">
      <w:pPr>
        <w:pStyle w:val="ListParagraph"/>
        <w:jc w:val="both"/>
      </w:pPr>
      <w:r>
        <w:t xml:space="preserve">Logistical needs have been coordinated with the host at the RISO </w:t>
      </w:r>
      <w:r>
        <w:t>Willow Site, and are fulfilled.</w:t>
      </w:r>
    </w:p>
    <w:p w:rsidR="00FC51A4" w:rsidRPr="00F20757" w:rsidRDefault="00FC51A4" w:rsidP="00FC51A4"/>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FC51A4" w:rsidRDefault="00FC51A4" w:rsidP="00FC51A4">
      <w:pPr>
        <w:ind w:left="360"/>
        <w:jc w:val="both"/>
      </w:pPr>
    </w:p>
    <w:p w:rsidR="00FC51A4" w:rsidRDefault="00FC51A4" w:rsidP="00FC51A4">
      <w:pPr>
        <w:ind w:left="360"/>
        <w:jc w:val="both"/>
      </w:pPr>
      <w:r>
        <w:t>Results from this campaign will foremost be applicable for the method inter-comparison as outlined above. Conclusions from this work will inevitably be useful for future development and fine-tuning of greenhouse gas flux methods, and will consequently contribute to improve current estimates of GHG balances.</w:t>
      </w:r>
    </w:p>
    <w:p w:rsidR="00FC51A4" w:rsidRDefault="00FC51A4" w:rsidP="00FC51A4">
      <w:pPr>
        <w:ind w:left="360"/>
      </w:pPr>
    </w:p>
    <w:p w:rsidR="00FC51A4" w:rsidRDefault="00FC51A4" w:rsidP="00FC51A4">
      <w:pPr>
        <w:ind w:left="360"/>
        <w:jc w:val="both"/>
      </w:pPr>
      <w:r>
        <w:t xml:space="preserve">The field-campaign will be followed up by a workshop hosted by </w:t>
      </w:r>
      <w:proofErr w:type="spellStart"/>
      <w:r>
        <w:t>Risø</w:t>
      </w:r>
      <w:proofErr w:type="spellEnd"/>
      <w:r>
        <w:t>-DTU beginning 2014 when a more thorough plan for publication will be outlined. It is expected that at least one joint peer-reviewed publication will be developed from the campaign.</w:t>
      </w:r>
    </w:p>
    <w:p w:rsidR="00FC51A4" w:rsidRDefault="00FC51A4" w:rsidP="00FC51A4">
      <w:pPr>
        <w:ind w:left="1080"/>
      </w:pPr>
    </w:p>
    <w:p w:rsidR="00F20757" w:rsidRPr="00F20757" w:rsidRDefault="00FC51A4" w:rsidP="00FC51A4">
      <w:pPr>
        <w:ind w:left="360"/>
      </w:pPr>
      <w:r>
        <w:t xml:space="preserve">Data access, ECN data will be available for the project partners and uploaded to the </w:t>
      </w:r>
      <w:proofErr w:type="spellStart"/>
      <w:r>
        <w:t>InGOS</w:t>
      </w:r>
      <w:proofErr w:type="spellEnd"/>
      <w:r>
        <w:t xml:space="preserve"> flux data database either at the end o</w:t>
      </w:r>
      <w:bookmarkStart w:id="0" w:name="_GoBack"/>
      <w:r>
        <w:t>f</w:t>
      </w:r>
      <w:bookmarkEnd w:id="0"/>
      <w:r>
        <w:t xml:space="preserve"> the </w:t>
      </w:r>
      <w:proofErr w:type="spellStart"/>
      <w:r>
        <w:t>InGOS</w:t>
      </w:r>
      <w:proofErr w:type="spellEnd"/>
      <w:r>
        <w:t xml:space="preserve"> project or earlier when </w:t>
      </w:r>
      <w:proofErr w:type="spellStart"/>
      <w:r>
        <w:t>evaluateion</w:t>
      </w:r>
      <w:proofErr w:type="spellEnd"/>
      <w:r>
        <w:t xml:space="preserve"> by ECN and/or partners has been done. </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Key literature</w:t>
      </w:r>
    </w:p>
    <w:p w:rsidR="00FC51A4" w:rsidRPr="00FC51A4" w:rsidRDefault="00FC51A4" w:rsidP="00FC51A4">
      <w:pPr>
        <w:ind w:left="360"/>
        <w:jc w:val="both"/>
        <w:rPr>
          <w:rFonts w:eastAsia="MS Mincho"/>
          <w:szCs w:val="22"/>
        </w:rPr>
      </w:pPr>
      <w:r w:rsidRPr="00FC51A4">
        <w:rPr>
          <w:rFonts w:eastAsia="MS Mincho"/>
          <w:szCs w:val="22"/>
        </w:rPr>
        <w:t xml:space="preserve">Christensen, S., </w:t>
      </w:r>
      <w:proofErr w:type="spellStart"/>
      <w:r w:rsidRPr="00FC51A4">
        <w:rPr>
          <w:rFonts w:eastAsia="MS Mincho"/>
          <w:szCs w:val="22"/>
        </w:rPr>
        <w:t>Ambus</w:t>
      </w:r>
      <w:proofErr w:type="spellEnd"/>
      <w:r w:rsidRPr="00FC51A4">
        <w:rPr>
          <w:rFonts w:eastAsia="MS Mincho"/>
          <w:szCs w:val="22"/>
        </w:rPr>
        <w:t xml:space="preserve">, P., </w:t>
      </w:r>
      <w:proofErr w:type="spellStart"/>
      <w:r w:rsidRPr="00FC51A4">
        <w:rPr>
          <w:rFonts w:eastAsia="MS Mincho"/>
          <w:szCs w:val="22"/>
        </w:rPr>
        <w:t>Arah</w:t>
      </w:r>
      <w:proofErr w:type="spellEnd"/>
      <w:r w:rsidRPr="00FC51A4">
        <w:rPr>
          <w:rFonts w:eastAsia="MS Mincho"/>
          <w:szCs w:val="22"/>
        </w:rPr>
        <w:t xml:space="preserve">, J.R.M., Clayton, H., Galle, B., Griffith, D.W.T., Hargreaves, K.J., </w:t>
      </w:r>
      <w:proofErr w:type="spellStart"/>
      <w:r w:rsidRPr="00FC51A4">
        <w:rPr>
          <w:rFonts w:eastAsia="MS Mincho"/>
          <w:szCs w:val="22"/>
        </w:rPr>
        <w:t>Klemedtsson</w:t>
      </w:r>
      <w:proofErr w:type="spellEnd"/>
      <w:r w:rsidRPr="00FC51A4">
        <w:rPr>
          <w:rFonts w:eastAsia="MS Mincho"/>
          <w:szCs w:val="22"/>
        </w:rPr>
        <w:t xml:space="preserve">, L., Lind, A.-M., </w:t>
      </w:r>
      <w:proofErr w:type="spellStart"/>
      <w:r w:rsidRPr="00FC51A4">
        <w:rPr>
          <w:rFonts w:eastAsia="MS Mincho"/>
          <w:szCs w:val="22"/>
        </w:rPr>
        <w:t>Maag</w:t>
      </w:r>
      <w:proofErr w:type="spellEnd"/>
      <w:r w:rsidRPr="00FC51A4">
        <w:rPr>
          <w:rFonts w:eastAsia="MS Mincho"/>
          <w:szCs w:val="22"/>
        </w:rPr>
        <w:t xml:space="preserve">, M., Scott, A., </w:t>
      </w:r>
      <w:proofErr w:type="spellStart"/>
      <w:r w:rsidRPr="00FC51A4">
        <w:rPr>
          <w:rFonts w:eastAsia="MS Mincho"/>
          <w:szCs w:val="22"/>
        </w:rPr>
        <w:t>Skiba</w:t>
      </w:r>
      <w:proofErr w:type="spellEnd"/>
      <w:r w:rsidRPr="00FC51A4">
        <w:rPr>
          <w:rFonts w:eastAsia="MS Mincho"/>
          <w:szCs w:val="22"/>
        </w:rPr>
        <w:t xml:space="preserve">, U., Smith, K.A., Welling, M., and </w:t>
      </w:r>
      <w:proofErr w:type="spellStart"/>
      <w:r w:rsidRPr="00FC51A4">
        <w:rPr>
          <w:rFonts w:eastAsia="MS Mincho"/>
          <w:szCs w:val="22"/>
        </w:rPr>
        <w:t>Wienhold</w:t>
      </w:r>
      <w:proofErr w:type="spellEnd"/>
      <w:r w:rsidRPr="00FC51A4">
        <w:rPr>
          <w:rFonts w:eastAsia="MS Mincho"/>
          <w:szCs w:val="22"/>
        </w:rPr>
        <w:t>, F.G. 1996. Nitrous oxide emission from an agricultural field: Comparison between measurements by flux chamber and micrometeorological techniques. Atmospheric Environment. 30:4183-4190.</w:t>
      </w:r>
    </w:p>
    <w:p w:rsidR="00FC51A4" w:rsidRDefault="00FC51A4" w:rsidP="00FC51A4">
      <w:pPr>
        <w:autoSpaceDE w:val="0"/>
        <w:autoSpaceDN w:val="0"/>
        <w:adjustRightInd w:val="0"/>
        <w:ind w:left="360"/>
        <w:rPr>
          <w:rFonts w:ascii="Arial" w:hAnsi="Arial" w:cs="Arial"/>
          <w:lang w:val="da-DK"/>
        </w:rPr>
      </w:pPr>
    </w:p>
    <w:p w:rsidR="00FC51A4" w:rsidRPr="00FC51A4" w:rsidRDefault="00FC51A4" w:rsidP="00FC51A4">
      <w:pPr>
        <w:autoSpaceDE w:val="0"/>
        <w:autoSpaceDN w:val="0"/>
        <w:adjustRightInd w:val="0"/>
        <w:ind w:left="360"/>
        <w:rPr>
          <w:rFonts w:ascii="Arial" w:hAnsi="Arial" w:cs="Arial"/>
        </w:rPr>
      </w:pPr>
      <w:r w:rsidRPr="00FC51A4">
        <w:rPr>
          <w:rFonts w:ascii="Arial" w:hAnsi="Arial" w:cs="Arial"/>
          <w:lang w:val="da-DK"/>
        </w:rPr>
        <w:t xml:space="preserve">Hensen, A., Groot, T.T., van den Bulk, W.C.M., Vermeulen, A.T., Olesen, J.E. and Schelde, K. 2006. </w:t>
      </w:r>
      <w:r w:rsidRPr="00FC51A4">
        <w:rPr>
          <w:rFonts w:ascii="Arial" w:hAnsi="Arial" w:cs="Arial"/>
        </w:rPr>
        <w:t xml:space="preserve">Dairy farm CH4 and N2O emissions, from one square </w:t>
      </w:r>
      <w:proofErr w:type="spellStart"/>
      <w:r w:rsidRPr="00FC51A4">
        <w:rPr>
          <w:rFonts w:ascii="Arial" w:hAnsi="Arial" w:cs="Arial"/>
        </w:rPr>
        <w:t>metre</w:t>
      </w:r>
      <w:proofErr w:type="spellEnd"/>
      <w:r w:rsidRPr="00FC51A4">
        <w:rPr>
          <w:rFonts w:ascii="Arial" w:hAnsi="Arial" w:cs="Arial"/>
        </w:rPr>
        <w:t xml:space="preserve"> to the full farm scale. Agriculture, Ecosystems &amp; Environment 112: 146-152.</w:t>
      </w:r>
    </w:p>
    <w:p w:rsidR="00FC51A4" w:rsidRDefault="00FC51A4" w:rsidP="00FC51A4">
      <w:pPr>
        <w:autoSpaceDE w:val="0"/>
        <w:autoSpaceDN w:val="0"/>
        <w:adjustRightInd w:val="0"/>
        <w:ind w:left="360"/>
        <w:jc w:val="both"/>
        <w:rPr>
          <w:rFonts w:ascii="Arial" w:hAnsi="Arial" w:cs="Arial"/>
        </w:rPr>
      </w:pPr>
    </w:p>
    <w:p w:rsidR="00446697" w:rsidRPr="00FC51A4" w:rsidRDefault="00FC51A4" w:rsidP="00FC51A4">
      <w:pPr>
        <w:autoSpaceDE w:val="0"/>
        <w:autoSpaceDN w:val="0"/>
        <w:adjustRightInd w:val="0"/>
        <w:ind w:left="360"/>
        <w:jc w:val="both"/>
        <w:rPr>
          <w:rFonts w:ascii="Arial" w:hAnsi="Arial" w:cs="Arial"/>
        </w:rPr>
      </w:pPr>
      <w:proofErr w:type="spellStart"/>
      <w:r w:rsidRPr="00FC51A4">
        <w:rPr>
          <w:rFonts w:ascii="Arial" w:hAnsi="Arial" w:cs="Arial"/>
        </w:rPr>
        <w:t>Venterea</w:t>
      </w:r>
      <w:proofErr w:type="spellEnd"/>
      <w:r w:rsidRPr="00FC51A4">
        <w:rPr>
          <w:rFonts w:ascii="Arial" w:hAnsi="Arial" w:cs="Arial"/>
        </w:rPr>
        <w:t xml:space="preserve">, R.T., </w:t>
      </w:r>
      <w:proofErr w:type="spellStart"/>
      <w:r w:rsidRPr="00FC51A4">
        <w:rPr>
          <w:rFonts w:ascii="Arial" w:hAnsi="Arial" w:cs="Arial"/>
        </w:rPr>
        <w:t>Spokas</w:t>
      </w:r>
      <w:proofErr w:type="spellEnd"/>
      <w:r w:rsidRPr="00FC51A4">
        <w:rPr>
          <w:rFonts w:ascii="Arial" w:hAnsi="Arial" w:cs="Arial"/>
        </w:rPr>
        <w:t>, K.A. and Baker, J.M. 2009. Accuracy and precision analysis of chamber-based nitrous oxide gas flux estimates. Soil Science Society o</w:t>
      </w:r>
      <w:r>
        <w:rPr>
          <w:rFonts w:ascii="Arial" w:hAnsi="Arial" w:cs="Arial"/>
        </w:rPr>
        <w:t>f America Journal 73: 1087-1093</w:t>
      </w:r>
    </w:p>
    <w:sectPr w:rsidR="00446697" w:rsidRPr="00FC51A4" w:rsidSect="004274C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13" w:rsidRDefault="00E05013" w:rsidP="00446697">
      <w:r>
        <w:separator/>
      </w:r>
    </w:p>
  </w:endnote>
  <w:endnote w:type="continuationSeparator" w:id="0">
    <w:p w:rsidR="00E05013" w:rsidRDefault="00E05013"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2F69A9">
      <w:fldChar w:fldCharType="begin"/>
    </w:r>
    <w:r w:rsidR="002F69A9">
      <w:instrText xml:space="preserve"> PAGE    \* MERGEFORMAT </w:instrText>
    </w:r>
    <w:r w:rsidR="002F69A9">
      <w:fldChar w:fldCharType="separate"/>
    </w:r>
    <w:r w:rsidR="00FC51A4">
      <w:rPr>
        <w:noProof/>
      </w:rPr>
      <w:t>3</w:t>
    </w:r>
    <w:r w:rsidR="002F69A9">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13" w:rsidRDefault="00E05013" w:rsidP="00446697">
      <w:r>
        <w:separator/>
      </w:r>
    </w:p>
  </w:footnote>
  <w:footnote w:type="continuationSeparator" w:id="0">
    <w:p w:rsidR="00E05013" w:rsidRDefault="00E05013"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Header"/>
      <w:jc w:val="right"/>
    </w:pPr>
    <w:r>
      <w:rPr>
        <w:noProof/>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AE963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D17BF"/>
    <w:multiLevelType w:val="hybridMultilevel"/>
    <w:tmpl w:val="509246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2D14E9"/>
    <w:rsid w:val="002F69A9"/>
    <w:rsid w:val="0032758B"/>
    <w:rsid w:val="004007C4"/>
    <w:rsid w:val="004274C0"/>
    <w:rsid w:val="00446697"/>
    <w:rsid w:val="005634C3"/>
    <w:rsid w:val="005F0316"/>
    <w:rsid w:val="006A223B"/>
    <w:rsid w:val="00861515"/>
    <w:rsid w:val="008E2800"/>
    <w:rsid w:val="00B26202"/>
    <w:rsid w:val="00BE06BB"/>
    <w:rsid w:val="00CA42B3"/>
    <w:rsid w:val="00CD4EFD"/>
    <w:rsid w:val="00E05013"/>
    <w:rsid w:val="00E160E3"/>
    <w:rsid w:val="00E72258"/>
    <w:rsid w:val="00F20757"/>
    <w:rsid w:val="00F45FF8"/>
    <w:rsid w:val="00FC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E16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E16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261">
      <w:bodyDiv w:val="1"/>
      <w:marLeft w:val="0"/>
      <w:marRight w:val="0"/>
      <w:marTop w:val="0"/>
      <w:marBottom w:val="0"/>
      <w:divBdr>
        <w:top w:val="none" w:sz="0" w:space="0" w:color="auto"/>
        <w:left w:val="none" w:sz="0" w:space="0" w:color="auto"/>
        <w:bottom w:val="none" w:sz="0" w:space="0" w:color="auto"/>
        <w:right w:val="none" w:sz="0" w:space="0" w:color="auto"/>
      </w:divBdr>
    </w:div>
    <w:div w:id="424346515">
      <w:bodyDiv w:val="1"/>
      <w:marLeft w:val="0"/>
      <w:marRight w:val="0"/>
      <w:marTop w:val="0"/>
      <w:marBottom w:val="0"/>
      <w:divBdr>
        <w:top w:val="none" w:sz="0" w:space="0" w:color="auto"/>
        <w:left w:val="none" w:sz="0" w:space="0" w:color="auto"/>
        <w:bottom w:val="none" w:sz="0" w:space="0" w:color="auto"/>
        <w:right w:val="none" w:sz="0" w:space="0" w:color="auto"/>
      </w:divBdr>
    </w:div>
    <w:div w:id="1572765111">
      <w:bodyDiv w:val="1"/>
      <w:marLeft w:val="0"/>
      <w:marRight w:val="0"/>
      <w:marTop w:val="0"/>
      <w:marBottom w:val="0"/>
      <w:divBdr>
        <w:top w:val="none" w:sz="0" w:space="0" w:color="auto"/>
        <w:left w:val="none" w:sz="0" w:space="0" w:color="auto"/>
        <w:bottom w:val="none" w:sz="0" w:space="0" w:color="auto"/>
        <w:right w:val="none" w:sz="0" w:space="0" w:color="auto"/>
      </w:divBdr>
    </w:div>
    <w:div w:id="1862355212">
      <w:bodyDiv w:val="1"/>
      <w:marLeft w:val="0"/>
      <w:marRight w:val="0"/>
      <w:marTop w:val="0"/>
      <w:marBottom w:val="0"/>
      <w:divBdr>
        <w:top w:val="none" w:sz="0" w:space="0" w:color="auto"/>
        <w:left w:val="none" w:sz="0" w:space="0" w:color="auto"/>
        <w:bottom w:val="none" w:sz="0" w:space="0" w:color="auto"/>
        <w:right w:val="none" w:sz="0" w:space="0" w:color="auto"/>
      </w:divBdr>
    </w:div>
    <w:div w:id="20793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sen@ecn.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Hensen, A. (Arjan)</cp:lastModifiedBy>
  <cp:revision>2</cp:revision>
  <dcterms:created xsi:type="dcterms:W3CDTF">2013-04-10T10:06:00Z</dcterms:created>
  <dcterms:modified xsi:type="dcterms:W3CDTF">2013-04-10T10:06:00Z</dcterms:modified>
</cp:coreProperties>
</file>