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CE2D9" w14:textId="77777777"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14:paraId="29A76E42" w14:textId="77777777" w:rsidR="00446697" w:rsidRDefault="00446697"/>
    <w:p w14:paraId="173DA223" w14:textId="77777777"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w:t>
      </w:r>
      <w:proofErr w:type="gramStart"/>
      <w:r w:rsidR="00861515">
        <w:t>should be included in order to be evaluated</w:t>
      </w:r>
      <w:proofErr w:type="gramEnd"/>
      <w:r w:rsidR="00861515">
        <w:t>:</w:t>
      </w:r>
    </w:p>
    <w:p w14:paraId="3281C91F" w14:textId="77777777" w:rsidR="00861515" w:rsidRDefault="00861515"/>
    <w:p w14:paraId="380D6AC7" w14:textId="77777777"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14:paraId="75C616D4" w14:textId="77777777" w:rsidR="008F5B2D" w:rsidRDefault="008F5B2D" w:rsidP="008F5B2D">
      <w:pPr>
        <w:pStyle w:val="ListParagraph"/>
      </w:pPr>
      <w:r w:rsidRPr="008F5B2D">
        <w:rPr>
          <w:u w:val="single"/>
        </w:rPr>
        <w:t>Project Name</w:t>
      </w:r>
      <w:r>
        <w:t xml:space="preserve">: </w:t>
      </w:r>
      <w:proofErr w:type="spellStart"/>
      <w:r w:rsidRPr="00AD42C9">
        <w:t>InGOS</w:t>
      </w:r>
      <w:proofErr w:type="spellEnd"/>
      <w:r w:rsidRPr="00AD42C9">
        <w:t xml:space="preserve"> N</w:t>
      </w:r>
      <w:r w:rsidRPr="008F5B2D">
        <w:rPr>
          <w:vertAlign w:val="subscript"/>
        </w:rPr>
        <w:t>2</w:t>
      </w:r>
      <w:r w:rsidRPr="00AD42C9">
        <w:t>O soil chamber inter</w:t>
      </w:r>
      <w:r>
        <w:t>-</w:t>
      </w:r>
      <w:r w:rsidRPr="00AD42C9">
        <w:t xml:space="preserve">comparison </w:t>
      </w:r>
      <w:r>
        <w:t>campaign 2014</w:t>
      </w:r>
    </w:p>
    <w:p w14:paraId="4B66A83E" w14:textId="77777777" w:rsidR="008F5B2D" w:rsidRDefault="008F5B2D" w:rsidP="008F5B2D">
      <w:pPr>
        <w:pStyle w:val="ListParagraph"/>
      </w:pPr>
    </w:p>
    <w:p w14:paraId="3C513BA6" w14:textId="77777777" w:rsidR="008F5B2D" w:rsidRPr="00921B43" w:rsidRDefault="008F5B2D" w:rsidP="008F5B2D">
      <w:pPr>
        <w:pStyle w:val="ListParagraph"/>
      </w:pPr>
      <w:r w:rsidRPr="008F5B2D">
        <w:rPr>
          <w:u w:val="single"/>
        </w:rPr>
        <w:t>Names of researchers</w:t>
      </w:r>
      <w:r w:rsidRPr="00921B43">
        <w:t>:</w:t>
      </w:r>
    </w:p>
    <w:p w14:paraId="136A2314" w14:textId="77777777" w:rsidR="008F5B2D" w:rsidRDefault="008F5B2D" w:rsidP="008F5B2D">
      <w:pPr>
        <w:pStyle w:val="ListParagraph"/>
      </w:pPr>
      <w:r>
        <w:t>Lutz Merbold</w:t>
      </w:r>
    </w:p>
    <w:p w14:paraId="69D06C96" w14:textId="77777777" w:rsidR="008F5B2D" w:rsidRPr="00921B43" w:rsidRDefault="008F5B2D" w:rsidP="008F5B2D">
      <w:pPr>
        <w:pStyle w:val="ListParagraph"/>
      </w:pPr>
    </w:p>
    <w:p w14:paraId="7BE2AAC7" w14:textId="77777777" w:rsidR="008F5B2D" w:rsidRPr="008F5B2D" w:rsidRDefault="008F5B2D" w:rsidP="008F5B2D">
      <w:pPr>
        <w:pStyle w:val="ListParagraph"/>
        <w:rPr>
          <w:color w:val="FF0000"/>
        </w:rPr>
      </w:pPr>
      <w:r w:rsidRPr="008F5B2D">
        <w:rPr>
          <w:u w:val="single"/>
        </w:rPr>
        <w:t>Contact of researcher</w:t>
      </w:r>
      <w:r>
        <w:t xml:space="preserve">: Institute for Agricultural Sciences, ETH Zurich, </w:t>
      </w:r>
      <w:proofErr w:type="spellStart"/>
      <w:r>
        <w:t>Universitätsstrasse</w:t>
      </w:r>
      <w:proofErr w:type="spellEnd"/>
      <w:r>
        <w:t xml:space="preserve"> 2, 8092, Zurich, Switzerland</w:t>
      </w:r>
      <w:r w:rsidRPr="008F5B2D">
        <w:rPr>
          <w:color w:val="FF0000"/>
        </w:rPr>
        <w:t xml:space="preserve"> </w:t>
      </w:r>
    </w:p>
    <w:p w14:paraId="41BE90E6" w14:textId="77777777" w:rsidR="008F5B2D" w:rsidRPr="00C06437" w:rsidRDefault="008F5B2D" w:rsidP="008F5B2D">
      <w:pPr>
        <w:pStyle w:val="ListParagraph"/>
      </w:pPr>
    </w:p>
    <w:p w14:paraId="46C9A417" w14:textId="77777777" w:rsidR="008F5B2D" w:rsidRPr="00921B43" w:rsidRDefault="008F5B2D" w:rsidP="008F5B2D">
      <w:pPr>
        <w:pStyle w:val="ListParagraph"/>
      </w:pPr>
      <w:r w:rsidRPr="008F5B2D">
        <w:rPr>
          <w:u w:val="single"/>
        </w:rPr>
        <w:t>Duration of project</w:t>
      </w:r>
      <w:r w:rsidRPr="00921B43">
        <w:t xml:space="preserve"> </w:t>
      </w:r>
      <w:r>
        <w:t>29</w:t>
      </w:r>
      <w:r w:rsidRPr="00921B43">
        <w:t>.0</w:t>
      </w:r>
      <w:r>
        <w:t>7</w:t>
      </w:r>
      <w:proofErr w:type="gramStart"/>
      <w:r w:rsidRPr="00921B43">
        <w:t>.-</w:t>
      </w:r>
      <w:proofErr w:type="gramEnd"/>
      <w:r>
        <w:t>01</w:t>
      </w:r>
      <w:r w:rsidRPr="00921B43">
        <w:t>.0</w:t>
      </w:r>
      <w:r>
        <w:t>8</w:t>
      </w:r>
      <w:r w:rsidRPr="00921B43">
        <w:t>.</w:t>
      </w:r>
      <w:r>
        <w:t>20</w:t>
      </w:r>
      <w:r w:rsidRPr="00921B43">
        <w:t>14</w:t>
      </w:r>
    </w:p>
    <w:p w14:paraId="40A8ECB5" w14:textId="77777777" w:rsidR="008F5B2D" w:rsidRPr="00921B43" w:rsidRDefault="008F5B2D" w:rsidP="008F5B2D">
      <w:pPr>
        <w:pStyle w:val="ListParagraph"/>
      </w:pPr>
    </w:p>
    <w:p w14:paraId="2B8DBA3D" w14:textId="77777777" w:rsidR="008F5B2D" w:rsidRPr="00921B43" w:rsidRDefault="008F5B2D" w:rsidP="008F5B2D">
      <w:pPr>
        <w:pStyle w:val="ListParagraph"/>
      </w:pPr>
      <w:r w:rsidRPr="008F5B2D">
        <w:rPr>
          <w:u w:val="single"/>
        </w:rPr>
        <w:t>Type / Name of infrastructure</w:t>
      </w:r>
      <w:r>
        <w:t>: Warm</w:t>
      </w:r>
      <w:r w:rsidRPr="00645A67">
        <w:t xml:space="preserve"> machinery hall </w:t>
      </w:r>
      <w:proofErr w:type="spellStart"/>
      <w:r w:rsidRPr="00645A67">
        <w:t>Hyytiälä</w:t>
      </w:r>
      <w:proofErr w:type="spellEnd"/>
      <w:r w:rsidRPr="00645A67">
        <w:t xml:space="preserve"> Forestry field </w:t>
      </w:r>
      <w:r w:rsidRPr="00921B43">
        <w:t>station</w:t>
      </w:r>
      <w:r>
        <w:t xml:space="preserve"> (TNA1)</w:t>
      </w:r>
      <w:r w:rsidRPr="00921B43">
        <w:t>, participation at soil chamber inter-comparison campaign</w:t>
      </w:r>
      <w:r>
        <w:t>, testing chamber performance</w:t>
      </w:r>
    </w:p>
    <w:p w14:paraId="772E91DF" w14:textId="77777777" w:rsidR="008F5B2D" w:rsidRDefault="008F5B2D" w:rsidP="008F5B2D">
      <w:pPr>
        <w:pStyle w:val="ListParagraph"/>
        <w:ind w:left="360"/>
        <w:rPr>
          <w:b/>
        </w:rPr>
      </w:pPr>
    </w:p>
    <w:p w14:paraId="509EFE70" w14:textId="77777777" w:rsidR="00861515" w:rsidRDefault="00861515" w:rsidP="00F20757">
      <w:pPr>
        <w:rPr>
          <w:b/>
        </w:rPr>
      </w:pPr>
    </w:p>
    <w:p w14:paraId="7E93F436" w14:textId="3C33A577" w:rsidR="00861515" w:rsidRDefault="00861515" w:rsidP="00F20757">
      <w:pPr>
        <w:pStyle w:val="ListParagraph"/>
        <w:numPr>
          <w:ilvl w:val="0"/>
          <w:numId w:val="1"/>
        </w:numPr>
        <w:ind w:left="360"/>
        <w:rPr>
          <w:b/>
        </w:rPr>
      </w:pPr>
      <w:r>
        <w:rPr>
          <w:b/>
        </w:rPr>
        <w:t>Background</w:t>
      </w:r>
      <w:r w:rsidR="008A3947">
        <w:rPr>
          <w:b/>
        </w:rPr>
        <w:t xml:space="preserve"> (</w:t>
      </w:r>
      <w:r w:rsidR="007D0D4B">
        <w:rPr>
          <w:b/>
        </w:rPr>
        <w:t>based on the documents provided by the campaign organizers and campaign contributors</w:t>
      </w:r>
      <w:r w:rsidR="008A3947">
        <w:rPr>
          <w:b/>
        </w:rPr>
        <w:t>)</w:t>
      </w:r>
    </w:p>
    <w:p w14:paraId="0D0CC08B" w14:textId="77777777" w:rsidR="008A3947" w:rsidRDefault="008A3947" w:rsidP="008A3947">
      <w:pPr>
        <w:rPr>
          <w:b/>
        </w:rPr>
      </w:pPr>
    </w:p>
    <w:p w14:paraId="3D4350F7" w14:textId="77777777" w:rsidR="008F5B2D" w:rsidRPr="00110624" w:rsidRDefault="008F5B2D" w:rsidP="008F5B2D">
      <w:pPr>
        <w:pStyle w:val="ListParagraph"/>
        <w:numPr>
          <w:ilvl w:val="1"/>
          <w:numId w:val="1"/>
        </w:numPr>
        <w:ind w:left="1080"/>
      </w:pPr>
      <w:r w:rsidRPr="00110624">
        <w:t>Significance of the research</w:t>
      </w:r>
      <w:r>
        <w:t xml:space="preserve"> </w:t>
      </w:r>
    </w:p>
    <w:p w14:paraId="5A85DD9C" w14:textId="77777777" w:rsidR="008F5B2D" w:rsidRDefault="008F5B2D" w:rsidP="008F5B2D">
      <w:r w:rsidRPr="00110624">
        <w:t>Accurate determination of ambient nitrous oxide (N</w:t>
      </w:r>
      <w:r w:rsidRPr="00110624">
        <w:rPr>
          <w:vertAlign w:val="subscript"/>
        </w:rPr>
        <w:t>2</w:t>
      </w:r>
      <w:r w:rsidRPr="00110624">
        <w:t>O) concentrations and the associated exchange between soil and atmosphere has been in the focus of environmental research for several years.</w:t>
      </w:r>
      <w:r>
        <w:t xml:space="preserve"> </w:t>
      </w:r>
      <w:r w:rsidRPr="00110624">
        <w:t xml:space="preserve">With its long residence time in the troposphere and its relatively large energy absorption capacity per molecule, which is almost 300 times higher than the same mass unit of carbon dioxide over a 100-year </w:t>
      </w:r>
      <w:r w:rsidRPr="00D113B4">
        <w:t>period (IPCC, 2007), N</w:t>
      </w:r>
      <w:r w:rsidRPr="00D113B4">
        <w:rPr>
          <w:vertAlign w:val="subscript"/>
        </w:rPr>
        <w:t>2</w:t>
      </w:r>
      <w:r w:rsidRPr="00D113B4">
        <w:t>O is of high relevance for the Earth’s greenhouse gas budget. Precise measurements of N</w:t>
      </w:r>
      <w:r w:rsidRPr="00D113B4">
        <w:rPr>
          <w:vertAlign w:val="subscript"/>
        </w:rPr>
        <w:t>2</w:t>
      </w:r>
      <w:r w:rsidRPr="00D113B4">
        <w:t>O – particularly at the field scale – are therefore essential for specific applications in ecosystem research such as the study of N cycling, fertilization effects, and for the compilation of full greenhouse gas budgets. The most common method to measure soil-atmosphere exchange of N</w:t>
      </w:r>
      <w:r w:rsidRPr="00D113B4">
        <w:rPr>
          <w:vertAlign w:val="subscript"/>
        </w:rPr>
        <w:t>2</w:t>
      </w:r>
      <w:r w:rsidRPr="00D113B4">
        <w:t>O is the operation of static chambers (Hutchinson and Mosier, 1981; Schiller and Hastie, 1996). The N</w:t>
      </w:r>
      <w:r w:rsidRPr="00D113B4">
        <w:rPr>
          <w:vertAlign w:val="subscript"/>
        </w:rPr>
        <w:t>2</w:t>
      </w:r>
      <w:r w:rsidRPr="00D113B4">
        <w:t xml:space="preserve">O flux is calculated from the concentration increase (or decrease) over time while the </w:t>
      </w:r>
      <w:proofErr w:type="gramStart"/>
      <w:r w:rsidRPr="00D113B4">
        <w:t>air-tight</w:t>
      </w:r>
      <w:proofErr w:type="gramEnd"/>
      <w:r w:rsidRPr="00D113B4">
        <w:t xml:space="preserve"> chamber is usually attached to a soil frame. Different chamber designs</w:t>
      </w:r>
      <w:r w:rsidRPr="00110624">
        <w:t xml:space="preserve"> and air sampling procedures exist, either with manual, semi-automated, i.e. automatic sampling but manual </w:t>
      </w:r>
      <w:r w:rsidRPr="00110624">
        <w:lastRenderedPageBreak/>
        <w:t xml:space="preserve">transport of air samples in syringes or vials to the </w:t>
      </w:r>
      <w:r>
        <w:t>GC</w:t>
      </w:r>
      <w:r w:rsidRPr="00110624">
        <w:t>, or fully automated gas collection, where the air samples are directly pumped (or sucked) via carrier gas to a temperature-stable housing equipped with a GC in the field (e.</w:t>
      </w:r>
      <w:r w:rsidRPr="00D113B4">
        <w:t xml:space="preserve">g., </w:t>
      </w:r>
      <w:proofErr w:type="spellStart"/>
      <w:r w:rsidRPr="00D113B4">
        <w:t>Butterbach-Bahl</w:t>
      </w:r>
      <w:proofErr w:type="spellEnd"/>
      <w:r w:rsidRPr="00D113B4">
        <w:t xml:space="preserve"> et al., 1997; </w:t>
      </w:r>
      <w:proofErr w:type="spellStart"/>
      <w:r>
        <w:t>Imer</w:t>
      </w:r>
      <w:proofErr w:type="spellEnd"/>
      <w:r>
        <w:t xml:space="preserve"> et al. 2013</w:t>
      </w:r>
      <w:r w:rsidRPr="00D113B4">
        <w:t>). With recent progress in the development of fast-response technologies for analyzing a variety of N and C trace gases, e.g. tunable diode laser absorption</w:t>
      </w:r>
      <w:r w:rsidRPr="00110624">
        <w:t xml:space="preserve"> spectrometers (TDLAS), quantum cascade lasers (QCL</w:t>
      </w:r>
      <w:r>
        <w:t>AS</w:t>
      </w:r>
      <w:r w:rsidRPr="00110624">
        <w:t>) and devices originating from individual applications such as Fourier transform infrared (FTIR) spectrometers</w:t>
      </w:r>
      <w:r>
        <w:t>, and in the context of standardizing measurements of greenhouse gases, it is of high relevance to compare and cross-validate existing chamber designs with regard to pressure effects, sufficient mixing, closure time, saturation effects, etc</w:t>
      </w:r>
      <w:r w:rsidRPr="00110624">
        <w:t>.</w:t>
      </w:r>
      <w:r>
        <w:t xml:space="preserve"> The upcoming campaign in </w:t>
      </w:r>
      <w:proofErr w:type="spellStart"/>
      <w:r>
        <w:t>Hyytiälä</w:t>
      </w:r>
      <w:proofErr w:type="spellEnd"/>
      <w:r>
        <w:t xml:space="preserve"> is an ideal opportunity to study these individual chamber characteristics.</w:t>
      </w:r>
    </w:p>
    <w:p w14:paraId="5C938742" w14:textId="77777777" w:rsidR="008F5B2D" w:rsidRDefault="008F5B2D" w:rsidP="008F5B2D"/>
    <w:p w14:paraId="22B8C3CC" w14:textId="77777777" w:rsidR="008F5B2D" w:rsidRPr="0089134E" w:rsidRDefault="008F5B2D" w:rsidP="008F5B2D">
      <w:pPr>
        <w:pStyle w:val="ListParagraph"/>
        <w:numPr>
          <w:ilvl w:val="1"/>
          <w:numId w:val="1"/>
        </w:numPr>
        <w:ind w:left="1080"/>
      </w:pPr>
      <w:r w:rsidRPr="0089134E">
        <w:t>Previous research relevant to the topic and how the proposed project links to this</w:t>
      </w:r>
    </w:p>
    <w:p w14:paraId="253C3444" w14:textId="77777777" w:rsidR="008F5B2D" w:rsidRPr="003465AF" w:rsidRDefault="008F5B2D" w:rsidP="008F5B2D">
      <w:pPr>
        <w:rPr>
          <w:b/>
        </w:rPr>
      </w:pPr>
      <w:r>
        <w:t>In 2008</w:t>
      </w:r>
      <w:r w:rsidRPr="0089134E">
        <w:t xml:space="preserve">, </w:t>
      </w:r>
      <w:proofErr w:type="spellStart"/>
      <w:r w:rsidRPr="0089134E">
        <w:t>Pihlatie</w:t>
      </w:r>
      <w:proofErr w:type="spellEnd"/>
      <w:r w:rsidRPr="0089134E">
        <w:t xml:space="preserve"> et al. </w:t>
      </w:r>
      <w:r>
        <w:t xml:space="preserve">carried out a </w:t>
      </w:r>
      <w:r w:rsidRPr="0089134E">
        <w:t xml:space="preserve">comparison campaign </w:t>
      </w:r>
      <w:r>
        <w:t xml:space="preserve">at the </w:t>
      </w:r>
      <w:proofErr w:type="spellStart"/>
      <w:r>
        <w:t>Hyytiälä</w:t>
      </w:r>
      <w:proofErr w:type="spellEnd"/>
      <w:r>
        <w:t xml:space="preserve"> forestry station using</w:t>
      </w:r>
      <w:r w:rsidRPr="0089134E">
        <w:t xml:space="preserve"> static chambers to measure CH</w:t>
      </w:r>
      <w:r w:rsidRPr="004023C8">
        <w:rPr>
          <w:vertAlign w:val="subscript"/>
        </w:rPr>
        <w:t>4</w:t>
      </w:r>
      <w:r w:rsidRPr="0089134E">
        <w:t xml:space="preserve"> emissions from soils. The </w:t>
      </w:r>
      <w:r>
        <w:t>c</w:t>
      </w:r>
      <w:r w:rsidRPr="0089134E">
        <w:t xml:space="preserve">ampaign </w:t>
      </w:r>
      <w:r>
        <w:t xml:space="preserve">aimed at quantifying </w:t>
      </w:r>
      <w:r w:rsidRPr="0089134E">
        <w:t>errors resulting from different chamber design, operation and flux calculation methods</w:t>
      </w:r>
      <w:r>
        <w:t>. The main findings were that the chamber design affects flux under- and overestimation and an increasing chamber volume significantly reduced flux underestimation. It could be further found that the tested chambers underestimated CH</w:t>
      </w:r>
      <w:r w:rsidRPr="004023C8">
        <w:rPr>
          <w:vertAlign w:val="subscript"/>
        </w:rPr>
        <w:t>4</w:t>
      </w:r>
      <w:r>
        <w:t xml:space="preserve"> fluxes by on average 33 % when calculated using the linear fit. The exponential flux calculation, however, did not result in significantly different chamber fluxes compared to a reference flux. These results show that both chamber design as well as the flux calculation method influence soil CH</w:t>
      </w:r>
      <w:r w:rsidRPr="004023C8">
        <w:rPr>
          <w:vertAlign w:val="subscript"/>
        </w:rPr>
        <w:t>4</w:t>
      </w:r>
      <w:r>
        <w:t xml:space="preserve"> flux estimates. Similar to CH</w:t>
      </w:r>
      <w:r w:rsidRPr="004023C8">
        <w:rPr>
          <w:vertAlign w:val="subscript"/>
        </w:rPr>
        <w:t>4</w:t>
      </w:r>
      <w:r>
        <w:t>, N</w:t>
      </w:r>
      <w:r w:rsidRPr="004023C8">
        <w:rPr>
          <w:vertAlign w:val="subscript"/>
        </w:rPr>
        <w:t>2</w:t>
      </w:r>
      <w:r>
        <w:t>O flux measurements are subject to errors when using static chambers (see above). It is thus needed to quantitatively assess the uncertainties in N</w:t>
      </w:r>
      <w:r w:rsidRPr="004023C8">
        <w:rPr>
          <w:vertAlign w:val="subscript"/>
        </w:rPr>
        <w:t>2</w:t>
      </w:r>
      <w:r>
        <w:t>O flux estimates related to chamber measurements and flux calculation methods.</w:t>
      </w:r>
    </w:p>
    <w:p w14:paraId="11ADCF4D" w14:textId="77777777" w:rsidR="008F5B2D" w:rsidRPr="00F80B66" w:rsidRDefault="008F5B2D" w:rsidP="008F5B2D"/>
    <w:p w14:paraId="53F67219" w14:textId="77777777" w:rsidR="008F5B2D" w:rsidRPr="00F80B66" w:rsidRDefault="008F5B2D" w:rsidP="008F5B2D">
      <w:pPr>
        <w:pStyle w:val="ListParagraph"/>
        <w:numPr>
          <w:ilvl w:val="1"/>
          <w:numId w:val="1"/>
        </w:numPr>
        <w:ind w:left="1080"/>
      </w:pPr>
      <w:r w:rsidRPr="00F80B66">
        <w:t>Links with current research of the applicant</w:t>
      </w:r>
    </w:p>
    <w:p w14:paraId="3083FA9B" w14:textId="792F42B0" w:rsidR="008F5B2D" w:rsidRDefault="008F5B2D" w:rsidP="008F5B2D">
      <w:r>
        <w:t>The Grassland Sciences group at ETH Zurich conducting soil efflux measurements of N</w:t>
      </w:r>
      <w:r w:rsidRPr="006A5216">
        <w:rPr>
          <w:vertAlign w:val="subscript"/>
        </w:rPr>
        <w:t>2</w:t>
      </w:r>
      <w:r>
        <w:t>O, CH</w:t>
      </w:r>
      <w:r w:rsidRPr="006A5216">
        <w:rPr>
          <w:vertAlign w:val="subscript"/>
        </w:rPr>
        <w:t>4</w:t>
      </w:r>
      <w:r>
        <w:t>, and CO</w:t>
      </w:r>
      <w:r w:rsidRPr="006A5216">
        <w:rPr>
          <w:vertAlign w:val="subscript"/>
        </w:rPr>
        <w:t>2</w:t>
      </w:r>
      <w:r>
        <w:t xml:space="preserve"> using the above-mentioned newly developed chamber system in conjunction with a GC. In addition the group runs a QCLAS within an eddy covariance setup and currently plans to setup a system that combines both, QCLAS and chambers to estimate the soil efflux of trace gases from a sub-alpine forest stand. Measurements are currently taking place in three grassl</w:t>
      </w:r>
      <w:r w:rsidR="00935560">
        <w:t>and ecosystems in Switzerland (</w:t>
      </w:r>
      <w:r>
        <w:t xml:space="preserve">e.g. Zeeman et al. 2010, </w:t>
      </w:r>
      <w:proofErr w:type="spellStart"/>
      <w:r>
        <w:t>Imer</w:t>
      </w:r>
      <w:proofErr w:type="spellEnd"/>
      <w:r>
        <w:t xml:space="preserve"> et al. 2013, Merbold et al. 2014)</w:t>
      </w:r>
    </w:p>
    <w:p w14:paraId="5231D7C3" w14:textId="77777777" w:rsidR="00861515" w:rsidRPr="00861515" w:rsidRDefault="00861515" w:rsidP="00F20757">
      <w:pPr>
        <w:pStyle w:val="ListParagraph"/>
        <w:ind w:left="360"/>
        <w:rPr>
          <w:b/>
        </w:rPr>
      </w:pPr>
    </w:p>
    <w:p w14:paraId="5D2F2A4E" w14:textId="77777777" w:rsidR="00861515" w:rsidRDefault="00861515" w:rsidP="00F20757">
      <w:pPr>
        <w:pStyle w:val="ListParagraph"/>
        <w:numPr>
          <w:ilvl w:val="0"/>
          <w:numId w:val="1"/>
        </w:numPr>
        <w:ind w:left="360"/>
        <w:rPr>
          <w:b/>
        </w:rPr>
      </w:pPr>
      <w:r>
        <w:rPr>
          <w:b/>
        </w:rPr>
        <w:t>Objectives</w:t>
      </w:r>
    </w:p>
    <w:p w14:paraId="7576E3B3" w14:textId="77777777" w:rsidR="00861515" w:rsidRDefault="00861515" w:rsidP="00F20757">
      <w:pPr>
        <w:pStyle w:val="ListParagraph"/>
        <w:numPr>
          <w:ilvl w:val="1"/>
          <w:numId w:val="1"/>
        </w:numPr>
        <w:ind w:left="1080"/>
      </w:pPr>
      <w:r w:rsidRPr="00F20757">
        <w:t>Hypothesis and research objectives</w:t>
      </w:r>
    </w:p>
    <w:p w14:paraId="6D0A4369" w14:textId="77777777" w:rsidR="008F5B2D" w:rsidRDefault="008F5B2D" w:rsidP="008F5B2D">
      <w:r>
        <w:t>Until recently chamber measurements are subject to systematic (e.g. pressure changes inside the chamber, leaking of chambers) and random errors (e.g. low spatial coverage of measurements) (</w:t>
      </w:r>
      <w:proofErr w:type="spellStart"/>
      <w:r>
        <w:t>Pumpanen</w:t>
      </w:r>
      <w:proofErr w:type="spellEnd"/>
      <w:r>
        <w:t xml:space="preserve"> et al., 2004; </w:t>
      </w:r>
      <w:proofErr w:type="spellStart"/>
      <w:r>
        <w:t>Pihlatie</w:t>
      </w:r>
      <w:proofErr w:type="spellEnd"/>
      <w:r>
        <w:t xml:space="preserve"> et al., 2013; Christiansen et al., 2011). Although N</w:t>
      </w:r>
      <w:r w:rsidRPr="008F5B2D">
        <w:rPr>
          <w:vertAlign w:val="subscript"/>
        </w:rPr>
        <w:t>2</w:t>
      </w:r>
      <w:r>
        <w:t xml:space="preserve">O laser instrumentation helps to eliminate random errors during single chamber measurements, it does not solve errors associated with high spatial </w:t>
      </w:r>
      <w:proofErr w:type="spellStart"/>
      <w:r>
        <w:t>variabilities</w:t>
      </w:r>
      <w:proofErr w:type="spellEnd"/>
      <w:r>
        <w:t xml:space="preserve"> of soil N</w:t>
      </w:r>
      <w:r w:rsidRPr="008F5B2D">
        <w:rPr>
          <w:vertAlign w:val="subscript"/>
        </w:rPr>
        <w:t>2</w:t>
      </w:r>
      <w:r>
        <w:t xml:space="preserve">O efflux. It is hypothesized that estimation of soil fluxes could be carried out by means of </w:t>
      </w:r>
      <w:r>
        <w:lastRenderedPageBreak/>
        <w:t>sampling N</w:t>
      </w:r>
      <w:r w:rsidRPr="008F5B2D">
        <w:rPr>
          <w:vertAlign w:val="subscript"/>
        </w:rPr>
        <w:t>2</w:t>
      </w:r>
      <w:r>
        <w:t>O concentrations in the soil airspace. Even though this approach is not very accurate, it is expected to provide information about the range and variability of soil fluxes.</w:t>
      </w:r>
    </w:p>
    <w:p w14:paraId="3DC8F6E0" w14:textId="77777777" w:rsidR="008F5B2D" w:rsidRPr="00F20757" w:rsidRDefault="008F5B2D" w:rsidP="008F5B2D">
      <w:r>
        <w:t>This campaign aims (1) at gaining more knowledge about systematic and random errors during chamber N</w:t>
      </w:r>
      <w:r w:rsidRPr="008F5B2D">
        <w:rPr>
          <w:vertAlign w:val="subscript"/>
        </w:rPr>
        <w:t>2</w:t>
      </w:r>
      <w:r>
        <w:t>O measurements and (2) at providing methods to control these. It is a further purpose (3) to evaluate the possibilities of using information about soil N</w:t>
      </w:r>
      <w:r w:rsidRPr="008F5B2D">
        <w:rPr>
          <w:vertAlign w:val="subscript"/>
        </w:rPr>
        <w:t>2</w:t>
      </w:r>
      <w:r>
        <w:t>O concentrations in conjunction with manual chamber measurements for soil N</w:t>
      </w:r>
      <w:r w:rsidRPr="008F5B2D">
        <w:rPr>
          <w:vertAlign w:val="subscript"/>
        </w:rPr>
        <w:t>2</w:t>
      </w:r>
      <w:r>
        <w:t>O efflux estimates.</w:t>
      </w:r>
    </w:p>
    <w:p w14:paraId="61B3C039" w14:textId="77777777" w:rsidR="00861515" w:rsidRDefault="00861515" w:rsidP="00F20757">
      <w:pPr>
        <w:pStyle w:val="ListParagraph"/>
        <w:numPr>
          <w:ilvl w:val="1"/>
          <w:numId w:val="1"/>
        </w:numPr>
        <w:ind w:left="1080"/>
      </w:pPr>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p w14:paraId="47E2242C" w14:textId="77777777" w:rsidR="008F5B2D" w:rsidRDefault="008F5B2D" w:rsidP="008F5B2D">
      <w:r w:rsidRPr="001D41DD">
        <w:t xml:space="preserve">It </w:t>
      </w:r>
      <w:r>
        <w:t xml:space="preserve">has been stated by the </w:t>
      </w:r>
      <w:proofErr w:type="spellStart"/>
      <w:r>
        <w:t>InGOS</w:t>
      </w:r>
      <w:proofErr w:type="spellEnd"/>
      <w:r>
        <w:t xml:space="preserve"> project that t</w:t>
      </w:r>
      <w:r w:rsidRPr="001D41DD">
        <w:t>h</w:t>
      </w:r>
      <w:r>
        <w:t>ere is need to support and integrate the observing capacity of Europe on non-CO</w:t>
      </w:r>
      <w:r w:rsidRPr="008F5B2D">
        <w:rPr>
          <w:vertAlign w:val="subscript"/>
        </w:rPr>
        <w:t>2</w:t>
      </w:r>
      <w:r>
        <w:t xml:space="preserve"> greenhouse gases as the emissions of these gases are very uncertain and it is unknown how future climate change will feedback into these emissions. One of the main aims of the infrastructure project is to work on standardizing relevant measurements, strengthening existing observation sites into supersites, capacity building in new member states, and preparing the integration of the network with other networks already in place or currently being set up (e.g. ICOS). The intended campaign including its requested infrastructure will exactly tackle the stated research questions (i.e. systematic and random errors in chamber measurements), particularly those related to standardizing relevant measurements and preparing the integration of measurement standards into infrastructures like ICOS, which are currently set up.</w:t>
      </w:r>
    </w:p>
    <w:p w14:paraId="4992812D" w14:textId="77777777" w:rsidR="008F5B2D" w:rsidRPr="00F20757" w:rsidRDefault="008F5B2D" w:rsidP="008F5B2D"/>
    <w:p w14:paraId="14728958" w14:textId="77777777" w:rsidR="00861515" w:rsidRPr="00861515" w:rsidRDefault="00861515" w:rsidP="00F20757">
      <w:pPr>
        <w:pStyle w:val="ListParagraph"/>
        <w:ind w:left="360"/>
        <w:rPr>
          <w:b/>
        </w:rPr>
      </w:pPr>
    </w:p>
    <w:p w14:paraId="090BC153" w14:textId="77777777"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14:paraId="23044427" w14:textId="77777777" w:rsidR="00861515" w:rsidRDefault="00861515" w:rsidP="00F20757">
      <w:pPr>
        <w:pStyle w:val="ListParagraph"/>
        <w:numPr>
          <w:ilvl w:val="1"/>
          <w:numId w:val="1"/>
        </w:numPr>
        <w:ind w:left="1080"/>
      </w:pPr>
      <w:r w:rsidRPr="00F20757">
        <w:t>Research method</w:t>
      </w:r>
      <w:r w:rsidR="00F20757" w:rsidRPr="00F20757">
        <w:t>, explaining how to reach the objective</w:t>
      </w:r>
    </w:p>
    <w:p w14:paraId="75B74C14" w14:textId="77777777" w:rsidR="00183EF7" w:rsidRPr="00F20757" w:rsidRDefault="00183EF7" w:rsidP="00183EF7">
      <w:proofErr w:type="gramStart"/>
      <w:r>
        <w:t>Uncertainties in flux estimates related to chamber design will be assessed by comparing a known flux (reference flux) and a chamber flux</w:t>
      </w:r>
      <w:proofErr w:type="gramEnd"/>
      <w:r>
        <w:t xml:space="preserve">. The experimental set up includes a calibration </w:t>
      </w:r>
      <w:proofErr w:type="gramStart"/>
      <w:r>
        <w:t>tank which</w:t>
      </w:r>
      <w:proofErr w:type="gramEnd"/>
      <w:r>
        <w:t xml:space="preserve"> establishes a reference flux through a sand bed with a known density and porosity on top of the tank. The flux is created by injecting a gas with a known concentration into the calibration tank with known volume. Parallel chamber measurements on top of the sand bed allow for direct comparison of chamber and reference fluxes and subsequent quantification of potential flux under- and overestimation of the tested chamber. Specific scientific aims of the project are (1) to evaluate the importance of storage effects to the systematic error of the flux estimate, (2) to evaluate methods of extrapolating the flux to undisturbed flux, (3) to compare estimates of flux saturation during the measurement, (4) to test </w:t>
      </w:r>
      <w:proofErr w:type="spellStart"/>
      <w:r>
        <w:t>plausibilities</w:t>
      </w:r>
      <w:proofErr w:type="spellEnd"/>
      <w:r>
        <w:t xml:space="preserve"> in using linear fits for flux estimation and correction of systematic errors, (5) to test exponential fits for flux estimation, and (6) to test possibilities of using soil gas concentration for flux estimation. General aims for participants of the project are (a) to measure leaking rates of used chambers and (b) to measure the sensitivity for storage problems.</w:t>
      </w:r>
    </w:p>
    <w:p w14:paraId="13EE9926" w14:textId="77777777" w:rsidR="00F20757" w:rsidRDefault="00F20757" w:rsidP="00F20757">
      <w:pPr>
        <w:pStyle w:val="ListParagraph"/>
        <w:numPr>
          <w:ilvl w:val="1"/>
          <w:numId w:val="1"/>
        </w:numPr>
        <w:ind w:left="1080"/>
      </w:pPr>
      <w:r w:rsidRPr="00F20757">
        <w:t>Research materials</w:t>
      </w:r>
      <w:r>
        <w:t>, instrumentation</w:t>
      </w:r>
    </w:p>
    <w:p w14:paraId="43760046" w14:textId="7A01465A" w:rsidR="00183EF7" w:rsidRDefault="00183EF7" w:rsidP="00183EF7">
      <w:r>
        <w:t xml:space="preserve">Instrumentation for the campaign includes </w:t>
      </w:r>
      <w:r w:rsidRPr="00645A67">
        <w:t>N</w:t>
      </w:r>
      <w:r w:rsidRPr="00183EF7">
        <w:rPr>
          <w:vertAlign w:val="subscript"/>
        </w:rPr>
        <w:t>2</w:t>
      </w:r>
      <w:r w:rsidRPr="00645A67">
        <w:t>O lasers</w:t>
      </w:r>
      <w:r>
        <w:t xml:space="preserve"> (</w:t>
      </w:r>
      <w:proofErr w:type="spellStart"/>
      <w:r>
        <w:t>LosGatos</w:t>
      </w:r>
      <w:proofErr w:type="spellEnd"/>
      <w:r>
        <w:t xml:space="preserve"> from Helsinki group and 2 Aerodyne QCL from </w:t>
      </w:r>
      <w:r w:rsidR="00935560">
        <w:t>the</w:t>
      </w:r>
      <w:r>
        <w:t xml:space="preserve"> </w:t>
      </w:r>
      <w:bookmarkStart w:id="0" w:name="_GoBack"/>
      <w:proofErr w:type="spellStart"/>
      <w:r>
        <w:t>Thünen</w:t>
      </w:r>
      <w:bookmarkEnd w:id="0"/>
      <w:proofErr w:type="spellEnd"/>
      <w:r>
        <w:t xml:space="preserve"> group</w:t>
      </w:r>
      <w:r w:rsidR="00935560">
        <w:t>, Germany</w:t>
      </w:r>
      <w:r>
        <w:t>), calibration tank with adjustable sand bed and circular shape, fans to create wind and anemometer to measure wind speeds. Each research group participating in this campaign brings their own chambers.</w:t>
      </w:r>
    </w:p>
    <w:p w14:paraId="20F5637C" w14:textId="77777777" w:rsidR="00F20757" w:rsidRPr="00F20757" w:rsidRDefault="00F20757" w:rsidP="00F20757">
      <w:pPr>
        <w:pStyle w:val="ListParagraph"/>
        <w:numPr>
          <w:ilvl w:val="1"/>
          <w:numId w:val="1"/>
        </w:numPr>
        <w:ind w:left="1080"/>
      </w:pPr>
      <w:r w:rsidRPr="00F20757">
        <w:lastRenderedPageBreak/>
        <w:t>Governance procedures, safety precautions, permit requirements and procedures</w:t>
      </w:r>
    </w:p>
    <w:p w14:paraId="00F64EAA" w14:textId="5914FD97" w:rsidR="00183EF7" w:rsidRDefault="00183EF7" w:rsidP="00183EF7">
      <w:r>
        <w:t xml:space="preserve">At the time of this writing </w:t>
      </w:r>
      <w:proofErr w:type="gramStart"/>
      <w:r>
        <w:t xml:space="preserve">the </w:t>
      </w:r>
      <w:proofErr w:type="spellStart"/>
      <w:r w:rsidRPr="00AD42C9">
        <w:t>InGOS</w:t>
      </w:r>
      <w:proofErr w:type="spellEnd"/>
      <w:r w:rsidRPr="00AD42C9">
        <w:t xml:space="preserve"> N</w:t>
      </w:r>
      <w:r w:rsidRPr="00183EF7">
        <w:rPr>
          <w:vertAlign w:val="subscript"/>
        </w:rPr>
        <w:t>2</w:t>
      </w:r>
      <w:r w:rsidRPr="00AD42C9">
        <w:t>O soil chamber inter</w:t>
      </w:r>
      <w:r>
        <w:t>-</w:t>
      </w:r>
      <w:r w:rsidRPr="00AD42C9">
        <w:t xml:space="preserve">comparison </w:t>
      </w:r>
      <w:r>
        <w:t xml:space="preserve">campaign 2014 has been excellently organized by a group from University of Helsinki, particularly by </w:t>
      </w:r>
      <w:proofErr w:type="spellStart"/>
      <w:r>
        <w:t>Janne</w:t>
      </w:r>
      <w:proofErr w:type="spellEnd"/>
      <w:r>
        <w:t xml:space="preserve"> </w:t>
      </w:r>
      <w:proofErr w:type="spellStart"/>
      <w:r>
        <w:t>Korhonen</w:t>
      </w:r>
      <w:proofErr w:type="spellEnd"/>
      <w:r>
        <w:t xml:space="preserve"> and Mari </w:t>
      </w:r>
      <w:proofErr w:type="spellStart"/>
      <w:r>
        <w:t>Pihlatie</w:t>
      </w:r>
      <w:proofErr w:type="spellEnd"/>
      <w:proofErr w:type="gramEnd"/>
      <w:r>
        <w:t xml:space="preserve">. Each participating group has a time slot of a couple of days for testing their respective chambers. All work will be performed under common </w:t>
      </w:r>
      <w:r w:rsidRPr="008148C4">
        <w:t>safety precautions</w:t>
      </w:r>
      <w:r>
        <w:t xml:space="preserve"> when operating QC lasers, pumps and pressurized gas tanks. To our knowledge, no specific permissions are required for the intended research work.</w:t>
      </w:r>
    </w:p>
    <w:p w14:paraId="04346F3B" w14:textId="77777777" w:rsidR="00861515" w:rsidRPr="00861515" w:rsidRDefault="00861515" w:rsidP="00F20757">
      <w:pPr>
        <w:pStyle w:val="ListParagraph"/>
        <w:ind w:left="360"/>
        <w:rPr>
          <w:b/>
        </w:rPr>
      </w:pPr>
    </w:p>
    <w:p w14:paraId="6A9BE8FF" w14:textId="77777777" w:rsidR="00861515" w:rsidRDefault="00861515" w:rsidP="00F20757">
      <w:pPr>
        <w:pStyle w:val="ListParagraph"/>
        <w:numPr>
          <w:ilvl w:val="0"/>
          <w:numId w:val="1"/>
        </w:numPr>
        <w:ind w:left="360"/>
        <w:rPr>
          <w:b/>
        </w:rPr>
      </w:pPr>
      <w:proofErr w:type="spellStart"/>
      <w:r>
        <w:rPr>
          <w:b/>
        </w:rPr>
        <w:t>Implementaton</w:t>
      </w:r>
      <w:proofErr w:type="spellEnd"/>
      <w:r>
        <w:rPr>
          <w:b/>
        </w:rPr>
        <w:t>: timetable, budget, distribution of work</w:t>
      </w:r>
    </w:p>
    <w:p w14:paraId="7A467DAB" w14:textId="77777777" w:rsidR="00F20757" w:rsidRDefault="00F20757" w:rsidP="00F20757">
      <w:pPr>
        <w:pStyle w:val="ListParagraph"/>
        <w:numPr>
          <w:ilvl w:val="1"/>
          <w:numId w:val="1"/>
        </w:numPr>
        <w:ind w:left="1080"/>
      </w:pPr>
      <w:r w:rsidRPr="00F20757">
        <w:t>Timetable for the research including personnel efforts, favorably table wise</w:t>
      </w:r>
    </w:p>
    <w:p w14:paraId="7D5013CF" w14:textId="77777777" w:rsidR="00183EF7" w:rsidRPr="00F20757" w:rsidRDefault="00183EF7" w:rsidP="00183EF7">
      <w:proofErr w:type="spellStart"/>
      <w:r>
        <w:t>L.Merbold</w:t>
      </w:r>
      <w:proofErr w:type="spellEnd"/>
      <w:r>
        <w:t xml:space="preserve"> will come to Finland 29</w:t>
      </w:r>
      <w:r w:rsidRPr="00183EF7">
        <w:rPr>
          <w:vertAlign w:val="superscript"/>
        </w:rPr>
        <w:t>th</w:t>
      </w:r>
      <w:r>
        <w:t xml:space="preserve"> July and stay till 1</w:t>
      </w:r>
      <w:r w:rsidRPr="00183EF7">
        <w:rPr>
          <w:vertAlign w:val="superscript"/>
        </w:rPr>
        <w:t>st</w:t>
      </w:r>
      <w:r>
        <w:t xml:space="preserve"> </w:t>
      </w:r>
      <w:proofErr w:type="spellStart"/>
      <w:r>
        <w:t>Augst</w:t>
      </w:r>
      <w:proofErr w:type="spellEnd"/>
      <w:r>
        <w:t xml:space="preserve"> to help and to test the chambers commonly used at ETH Zurich.</w:t>
      </w:r>
    </w:p>
    <w:p w14:paraId="0414F4CC" w14:textId="77777777" w:rsidR="00F20757" w:rsidRDefault="00F20757" w:rsidP="00F20757">
      <w:pPr>
        <w:pStyle w:val="ListParagraph"/>
        <w:numPr>
          <w:ilvl w:val="1"/>
          <w:numId w:val="1"/>
        </w:numPr>
        <w:ind w:left="1080"/>
      </w:pPr>
      <w:r w:rsidRPr="00F20757">
        <w:t xml:space="preserve">Total budget for travel and logistical support as requested </w:t>
      </w:r>
    </w:p>
    <w:p w14:paraId="32FFEEAE" w14:textId="77777777" w:rsidR="00183EF7" w:rsidRPr="00F20757" w:rsidRDefault="00183EF7" w:rsidP="00183EF7">
      <w:proofErr w:type="spellStart"/>
      <w:r>
        <w:t>L.Merbold</w:t>
      </w:r>
      <w:proofErr w:type="spellEnd"/>
      <w:r>
        <w:t xml:space="preserve"> </w:t>
      </w:r>
      <w:proofErr w:type="spellStart"/>
      <w:r>
        <w:t>wil</w:t>
      </w:r>
      <w:proofErr w:type="spellEnd"/>
      <w:r>
        <w:t xml:space="preserve"> travel via plan and take possibly 2 chambers with him. Cheapest economy flight will be searched for,</w:t>
      </w:r>
    </w:p>
    <w:p w14:paraId="1F74685F" w14:textId="77777777" w:rsidR="00F20757" w:rsidRDefault="00F20757" w:rsidP="00F20757">
      <w:pPr>
        <w:pStyle w:val="ListParagraph"/>
        <w:numPr>
          <w:ilvl w:val="1"/>
          <w:numId w:val="1"/>
        </w:numPr>
        <w:ind w:left="1080"/>
      </w:pPr>
      <w:r w:rsidRPr="00F20757">
        <w:t xml:space="preserve">Plan for specific </w:t>
      </w:r>
      <w:proofErr w:type="spellStart"/>
      <w:r w:rsidRPr="00F20757">
        <w:t>logistal</w:t>
      </w:r>
      <w:proofErr w:type="spellEnd"/>
      <w:r w:rsidRPr="00F20757">
        <w:t xml:space="preserve"> needs like </w:t>
      </w:r>
      <w:proofErr w:type="gramStart"/>
      <w:r w:rsidRPr="00F20757">
        <w:t>visa</w:t>
      </w:r>
      <w:proofErr w:type="gramEnd"/>
      <w:r w:rsidRPr="00F20757">
        <w:t>, import/export licenses etc.</w:t>
      </w:r>
    </w:p>
    <w:p w14:paraId="4FD4D236" w14:textId="77777777" w:rsidR="00183EF7" w:rsidRPr="00F20757" w:rsidRDefault="00183EF7" w:rsidP="00183EF7">
      <w:r>
        <w:t>Not applicable</w:t>
      </w:r>
    </w:p>
    <w:p w14:paraId="32914952" w14:textId="77777777" w:rsidR="00861515" w:rsidRPr="00861515" w:rsidRDefault="00861515" w:rsidP="00F20757">
      <w:pPr>
        <w:pStyle w:val="ListParagraph"/>
        <w:ind w:left="360"/>
        <w:rPr>
          <w:b/>
        </w:rPr>
      </w:pPr>
    </w:p>
    <w:p w14:paraId="0AB69141" w14:textId="77777777" w:rsidR="00861515" w:rsidRDefault="00861515" w:rsidP="00F20757">
      <w:pPr>
        <w:pStyle w:val="ListParagraph"/>
        <w:numPr>
          <w:ilvl w:val="0"/>
          <w:numId w:val="1"/>
        </w:numPr>
        <w:ind w:left="360"/>
        <w:rPr>
          <w:b/>
        </w:rPr>
      </w:pPr>
      <w:r>
        <w:rPr>
          <w:b/>
        </w:rPr>
        <w:t>Expected results and possible risks</w:t>
      </w:r>
    </w:p>
    <w:p w14:paraId="18EF2283" w14:textId="77777777" w:rsidR="00F20757" w:rsidRDefault="00F20757" w:rsidP="00F20757">
      <w:pPr>
        <w:pStyle w:val="ListParagraph"/>
        <w:numPr>
          <w:ilvl w:val="1"/>
          <w:numId w:val="1"/>
        </w:numPr>
        <w:ind w:left="1080"/>
      </w:pPr>
      <w:r w:rsidRPr="00F20757">
        <w:t>Expected scientific impact of the research</w:t>
      </w:r>
    </w:p>
    <w:p w14:paraId="290BC266" w14:textId="77777777" w:rsidR="00183EF7" w:rsidRDefault="00183EF7" w:rsidP="00183EF7">
      <w:r>
        <w:t>Results of the campaign are expected to better quantify uncertainties associated with specific chamber designs. This is of high relevance to the scientific community in order to reduce errors in greenhouse gas budget estimations as well as for the comparability of fluxes obtained by different chamber systems across Europe with regard to an intended standardization of flux determination techniques in the framework of research infrastructures such as ICOS.</w:t>
      </w:r>
    </w:p>
    <w:p w14:paraId="432D8F7B" w14:textId="77777777" w:rsidR="00183EF7" w:rsidRPr="00F20757" w:rsidRDefault="00183EF7" w:rsidP="00183EF7"/>
    <w:p w14:paraId="45E64603" w14:textId="77777777" w:rsidR="00F20757" w:rsidRDefault="00F20757" w:rsidP="00F20757">
      <w:pPr>
        <w:pStyle w:val="ListParagraph"/>
        <w:numPr>
          <w:ilvl w:val="1"/>
          <w:numId w:val="1"/>
        </w:numPr>
        <w:ind w:left="1080"/>
      </w:pPr>
      <w:r w:rsidRPr="00F20757">
        <w:t>Applicability and feasibility of the research results</w:t>
      </w:r>
    </w:p>
    <w:p w14:paraId="2E18C33F" w14:textId="77777777" w:rsidR="00183EF7" w:rsidRPr="00F20757" w:rsidRDefault="00183EF7" w:rsidP="00183EF7">
      <w:r>
        <w:t>See the previous section</w:t>
      </w:r>
    </w:p>
    <w:p w14:paraId="07071FC8" w14:textId="77777777" w:rsidR="00F20757" w:rsidRDefault="00F20757" w:rsidP="00F20757">
      <w:pPr>
        <w:pStyle w:val="ListParagraph"/>
        <w:numPr>
          <w:ilvl w:val="1"/>
          <w:numId w:val="1"/>
        </w:numPr>
        <w:ind w:left="1080"/>
      </w:pPr>
      <w:r w:rsidRPr="00F20757">
        <w:t>Publication plan</w:t>
      </w:r>
    </w:p>
    <w:p w14:paraId="375AF19B" w14:textId="77777777" w:rsidR="00183EF7" w:rsidRDefault="00183EF7" w:rsidP="00183EF7">
      <w:r>
        <w:t>As outlined in the campaign program by the local organizers, it is the idea to publish the results in peer-reviewed journals. Regarding the specific aims of the campaign, chances are high that at least two papers – presumably one with a focus on physical characteristics of specific chamber designs and another one with a focus on the influence of different flux calculation methods – will emerge from this initiative. Very good experience has been made in former comparison campaigns, which always led to high quality and high impact papers.</w:t>
      </w:r>
    </w:p>
    <w:p w14:paraId="36F398C2" w14:textId="77777777" w:rsidR="00183EF7" w:rsidRPr="00F20757" w:rsidRDefault="00183EF7" w:rsidP="00183EF7"/>
    <w:p w14:paraId="3A380EF6" w14:textId="77777777" w:rsidR="00F20757" w:rsidRDefault="00F20757" w:rsidP="00F20757">
      <w:pPr>
        <w:pStyle w:val="ListParagraph"/>
        <w:numPr>
          <w:ilvl w:val="1"/>
          <w:numId w:val="1"/>
        </w:numPr>
        <w:ind w:left="1080"/>
      </w:pPr>
      <w:r w:rsidRPr="00F20757">
        <w:t>Data access plan</w:t>
      </w:r>
    </w:p>
    <w:p w14:paraId="13A2CDF5" w14:textId="77777777" w:rsidR="00183EF7" w:rsidRDefault="00183EF7" w:rsidP="00183EF7">
      <w:r w:rsidRPr="00A47873">
        <w:t>T</w:t>
      </w:r>
      <w:r>
        <w:t>o our knowledge, t</w:t>
      </w:r>
      <w:r w:rsidRPr="00A47873">
        <w:t xml:space="preserve">his </w:t>
      </w:r>
      <w:r>
        <w:t>has not been mentioned yet, but will certainly be done at the beginning of the campaign. A surely elegant way would be free data access to the public once the intended papers have been published.</w:t>
      </w:r>
    </w:p>
    <w:p w14:paraId="67C3FAA1" w14:textId="77777777" w:rsidR="00183EF7" w:rsidRPr="00F20757" w:rsidRDefault="00183EF7" w:rsidP="00183EF7"/>
    <w:p w14:paraId="6472EF64" w14:textId="77777777" w:rsidR="00861515" w:rsidRPr="00861515" w:rsidRDefault="00861515" w:rsidP="00F20757">
      <w:pPr>
        <w:pStyle w:val="ListParagraph"/>
        <w:ind w:left="360"/>
        <w:rPr>
          <w:b/>
        </w:rPr>
      </w:pPr>
    </w:p>
    <w:p w14:paraId="2856C7AA" w14:textId="77777777" w:rsidR="00861515" w:rsidRDefault="00861515" w:rsidP="00F20757">
      <w:pPr>
        <w:pStyle w:val="ListParagraph"/>
        <w:numPr>
          <w:ilvl w:val="0"/>
          <w:numId w:val="1"/>
        </w:numPr>
        <w:ind w:left="360"/>
        <w:rPr>
          <w:b/>
        </w:rPr>
      </w:pPr>
      <w:r>
        <w:rPr>
          <w:b/>
        </w:rPr>
        <w:t>Key literature</w:t>
      </w:r>
    </w:p>
    <w:p w14:paraId="243693A9" w14:textId="77777777" w:rsidR="00446697" w:rsidRDefault="00F20757" w:rsidP="00F20757">
      <w:pPr>
        <w:pStyle w:val="ListParagraph"/>
        <w:numPr>
          <w:ilvl w:val="1"/>
          <w:numId w:val="1"/>
        </w:numPr>
        <w:ind w:left="1080"/>
      </w:pPr>
      <w:r w:rsidRPr="00F20757">
        <w:lastRenderedPageBreak/>
        <w:t>List of references used in the working plan</w:t>
      </w:r>
    </w:p>
    <w:p w14:paraId="5CCB7822" w14:textId="77777777" w:rsidR="00183EF7" w:rsidRPr="00183EF7" w:rsidRDefault="00183EF7" w:rsidP="00183EF7">
      <w:pPr>
        <w:rPr>
          <w:rFonts w:eastAsia="SimSun" w:cs="Calibri"/>
          <w:noProof/>
        </w:rPr>
      </w:pPr>
      <w:r w:rsidRPr="00183EF7">
        <w:rPr>
          <w:rFonts w:eastAsia="SimSun" w:cs="Calibri"/>
          <w:b/>
          <w:noProof/>
        </w:rPr>
        <w:t>Butterbach-Bahl</w:t>
      </w:r>
      <w:r w:rsidRPr="00183EF7">
        <w:rPr>
          <w:rFonts w:eastAsia="SimSun" w:cs="Calibri"/>
          <w:noProof/>
        </w:rPr>
        <w:t>, K., Gasche, R., Breuer, L., Papen, H.: Fluxes of NO and N</w:t>
      </w:r>
      <w:r w:rsidRPr="00183EF7">
        <w:rPr>
          <w:rFonts w:eastAsia="SimSun" w:cs="Calibri"/>
          <w:noProof/>
          <w:vertAlign w:val="subscript"/>
        </w:rPr>
        <w:t>2</w:t>
      </w:r>
      <w:r w:rsidRPr="00183EF7">
        <w:rPr>
          <w:rFonts w:eastAsia="SimSun" w:cs="Calibri"/>
          <w:noProof/>
        </w:rPr>
        <w:t>O from temperate forest soils: impact of forest type, N deposition and of liming on the NO and N</w:t>
      </w:r>
      <w:r w:rsidRPr="00183EF7">
        <w:rPr>
          <w:rFonts w:eastAsia="SimSun" w:cs="Calibri"/>
          <w:noProof/>
          <w:vertAlign w:val="subscript"/>
        </w:rPr>
        <w:t>2</w:t>
      </w:r>
      <w:r w:rsidRPr="00183EF7">
        <w:rPr>
          <w:rFonts w:eastAsia="SimSun" w:cs="Calibri"/>
          <w:noProof/>
        </w:rPr>
        <w:t>O emissions. Nutrient Cycling in Agroecosystems, 48, 79</w:t>
      </w:r>
      <w:r>
        <w:rPr>
          <w:rFonts w:eastAsia="SimSun"/>
          <w:noProof/>
        </w:rPr>
        <w:sym w:font="Symbol" w:char="F02D"/>
      </w:r>
      <w:r w:rsidRPr="00183EF7">
        <w:rPr>
          <w:rFonts w:eastAsia="SimSun" w:cs="Calibri"/>
          <w:noProof/>
        </w:rPr>
        <w:t>90, 1997.</w:t>
      </w:r>
    </w:p>
    <w:p w14:paraId="04CCA3F8" w14:textId="77777777" w:rsidR="00183EF7" w:rsidRPr="00183EF7" w:rsidRDefault="00183EF7" w:rsidP="00183EF7">
      <w:pPr>
        <w:rPr>
          <w:rFonts w:eastAsia="SimSun" w:cs="Calibri"/>
          <w:noProof/>
        </w:rPr>
      </w:pPr>
      <w:r w:rsidRPr="00183EF7">
        <w:rPr>
          <w:rFonts w:eastAsia="SimSun" w:cs="Calibri"/>
          <w:b/>
          <w:noProof/>
        </w:rPr>
        <w:t>Christiansen</w:t>
      </w:r>
      <w:r w:rsidRPr="00183EF7">
        <w:rPr>
          <w:rFonts w:eastAsia="SimSun" w:cs="Calibri"/>
          <w:noProof/>
        </w:rPr>
        <w:t>, J. R., Korhonen, J. F. J., Juszczak, R., Giebels, M., and Pihlatie, M.: Assessing the effects of chamber placement, manual sampling and headspace mixing on CH</w:t>
      </w:r>
      <w:r w:rsidRPr="00183EF7">
        <w:rPr>
          <w:rFonts w:eastAsia="SimSun" w:cs="Calibri"/>
          <w:noProof/>
          <w:vertAlign w:val="subscript"/>
        </w:rPr>
        <w:t>4</w:t>
      </w:r>
      <w:r w:rsidRPr="00183EF7">
        <w:rPr>
          <w:rFonts w:eastAsia="SimSun" w:cs="Calibri"/>
          <w:noProof/>
        </w:rPr>
        <w:t xml:space="preserve"> fluxes in a laboratory experiment, Plant and Soil, 343, 171</w:t>
      </w:r>
      <w:r>
        <w:rPr>
          <w:rFonts w:eastAsia="SimSun"/>
          <w:noProof/>
        </w:rPr>
        <w:sym w:font="Symbol" w:char="F02D"/>
      </w:r>
      <w:r w:rsidRPr="00183EF7">
        <w:rPr>
          <w:rFonts w:eastAsia="SimSun" w:cs="Calibri"/>
          <w:noProof/>
        </w:rPr>
        <w:t>185, 2011.</w:t>
      </w:r>
    </w:p>
    <w:p w14:paraId="39BB1EFC" w14:textId="77777777" w:rsidR="00183EF7" w:rsidRPr="00183EF7" w:rsidRDefault="00183EF7" w:rsidP="00183EF7">
      <w:pPr>
        <w:rPr>
          <w:rFonts w:eastAsia="SimSun" w:cs="Calibri"/>
          <w:noProof/>
        </w:rPr>
      </w:pPr>
      <w:r w:rsidRPr="00183EF7">
        <w:rPr>
          <w:rFonts w:eastAsia="SimSun" w:cs="Calibri"/>
          <w:b/>
          <w:noProof/>
        </w:rPr>
        <w:t>Flessa</w:t>
      </w:r>
      <w:r w:rsidRPr="00183EF7">
        <w:rPr>
          <w:rFonts w:eastAsia="SimSun" w:cs="Calibri"/>
          <w:noProof/>
        </w:rPr>
        <w:t>, H., Ruser, R., Schilling, R., Loftfield, N., Munch, J.C., Kaiser, E.A., Beese, F.: N</w:t>
      </w:r>
      <w:r w:rsidRPr="00183EF7">
        <w:rPr>
          <w:rFonts w:eastAsia="SimSun" w:cs="Calibri"/>
          <w:noProof/>
          <w:vertAlign w:val="subscript"/>
        </w:rPr>
        <w:t>2</w:t>
      </w:r>
      <w:r w:rsidRPr="00183EF7">
        <w:rPr>
          <w:rFonts w:eastAsia="SimSun" w:cs="Calibri"/>
          <w:noProof/>
        </w:rPr>
        <w:t>O and CH</w:t>
      </w:r>
      <w:r w:rsidRPr="00183EF7">
        <w:rPr>
          <w:rFonts w:eastAsia="SimSun" w:cs="Calibri"/>
          <w:noProof/>
          <w:vertAlign w:val="subscript"/>
        </w:rPr>
        <w:t>4</w:t>
      </w:r>
      <w:r w:rsidRPr="00183EF7">
        <w:rPr>
          <w:rFonts w:eastAsia="SimSun" w:cs="Calibri"/>
          <w:noProof/>
        </w:rPr>
        <w:t xml:space="preserve"> fluxes in potato fields: automated measurement, management effects and temporal variation. Geoderma, 105, 307</w:t>
      </w:r>
      <w:r>
        <w:rPr>
          <w:rFonts w:eastAsia="SimSun"/>
          <w:noProof/>
        </w:rPr>
        <w:sym w:font="Symbol" w:char="F02D"/>
      </w:r>
      <w:r w:rsidRPr="00183EF7">
        <w:rPr>
          <w:rFonts w:eastAsia="SimSun" w:cs="Calibri"/>
          <w:noProof/>
        </w:rPr>
        <w:t>325, 2002.</w:t>
      </w:r>
    </w:p>
    <w:p w14:paraId="5AA084BC" w14:textId="77777777" w:rsidR="00183EF7" w:rsidRDefault="00183EF7" w:rsidP="00183EF7">
      <w:pPr>
        <w:rPr>
          <w:rFonts w:eastAsia="SimSun" w:cs="Calibri"/>
          <w:noProof/>
        </w:rPr>
      </w:pPr>
      <w:r w:rsidRPr="00183EF7">
        <w:rPr>
          <w:rFonts w:eastAsia="SimSun" w:cs="Calibri"/>
          <w:b/>
          <w:noProof/>
        </w:rPr>
        <w:t>Hutchinson</w:t>
      </w:r>
      <w:r w:rsidRPr="00183EF7">
        <w:rPr>
          <w:rFonts w:eastAsia="SimSun" w:cs="Calibri"/>
          <w:noProof/>
        </w:rPr>
        <w:t>, G.L., Mosier, A.R.: Improved soil cover method for field measurement of nitrous oxide fluxes. Soil Sci. Soc. Am. J. 45, 311</w:t>
      </w:r>
      <w:r w:rsidRPr="00C51E21">
        <w:rPr>
          <w:rFonts w:eastAsia="SimSun"/>
          <w:noProof/>
        </w:rPr>
        <w:sym w:font="Symbol" w:char="F02D"/>
      </w:r>
      <w:r w:rsidRPr="00183EF7">
        <w:rPr>
          <w:rFonts w:eastAsia="SimSun" w:cs="Calibri"/>
          <w:noProof/>
        </w:rPr>
        <w:t>316, 1981.</w:t>
      </w:r>
    </w:p>
    <w:p w14:paraId="5B10FC4F" w14:textId="77777777" w:rsidR="00183EF7" w:rsidRPr="00183EF7" w:rsidRDefault="00183EF7" w:rsidP="00183EF7">
      <w:pPr>
        <w:rPr>
          <w:rFonts w:eastAsia="SimSun" w:cs="Calibri"/>
          <w:noProof/>
        </w:rPr>
      </w:pPr>
      <w:r w:rsidRPr="00183EF7">
        <w:rPr>
          <w:rFonts w:eastAsia="SimSun" w:cs="Calibri"/>
          <w:b/>
          <w:noProof/>
        </w:rPr>
        <w:t>Imer,</w:t>
      </w:r>
      <w:r>
        <w:rPr>
          <w:rFonts w:eastAsia="SimSun" w:cs="Calibri"/>
          <w:noProof/>
        </w:rPr>
        <w:t xml:space="preserve"> D., Merbold L, Eugster, W. and Buchmann N.: Temporal and spatial variations of soil CO2, CH4 and N2O fluxes at three differently managed grasslands. Biogeosciences, 10, 5931-5945, 2013.</w:t>
      </w:r>
    </w:p>
    <w:p w14:paraId="35AC3EA3" w14:textId="77777777" w:rsidR="00183EF7" w:rsidRDefault="00183EF7" w:rsidP="00183EF7">
      <w:pPr>
        <w:rPr>
          <w:rFonts w:eastAsia="SimSun" w:cs="Calibri"/>
          <w:noProof/>
        </w:rPr>
      </w:pPr>
      <w:r>
        <w:rPr>
          <w:rFonts w:eastAsia="SimSun" w:cs="Calibri"/>
          <w:b/>
          <w:noProof/>
        </w:rPr>
        <w:t>I</w:t>
      </w:r>
      <w:r w:rsidRPr="00183EF7">
        <w:rPr>
          <w:rFonts w:eastAsia="SimSun" w:cs="Calibri"/>
          <w:b/>
          <w:noProof/>
        </w:rPr>
        <w:t>PCC</w:t>
      </w:r>
      <w:r w:rsidRPr="00183EF7">
        <w:rPr>
          <w:rFonts w:eastAsia="SimSun" w:cs="Calibri"/>
          <w:noProof/>
        </w:rPr>
        <w:t>, Climate change 2007: the physical science basis. Contribution of Working Group I to the Fourth Assessment Report of the Intergovernmental Panel on Climate Change. In: Solomon, S., Qin, D., Manning, M., Chen, Z., Marquis, M., Averyt, K.B., Tignor, M., Miller, H.L., Eds. Cambridge: Cambridge University Press, 2007.</w:t>
      </w:r>
    </w:p>
    <w:p w14:paraId="61A2DC71" w14:textId="776E60EB" w:rsidR="00153F48" w:rsidRPr="00183EF7" w:rsidRDefault="004B0584" w:rsidP="00183EF7">
      <w:pPr>
        <w:rPr>
          <w:rFonts w:eastAsia="SimSun" w:cs="Calibri"/>
          <w:noProof/>
        </w:rPr>
      </w:pPr>
      <w:r w:rsidRPr="00153F48">
        <w:rPr>
          <w:rFonts w:eastAsia="SimSun" w:cs="Calibri"/>
          <w:b/>
          <w:noProof/>
        </w:rPr>
        <w:t>Merbold</w:t>
      </w:r>
      <w:r>
        <w:rPr>
          <w:rFonts w:eastAsia="SimSun" w:cs="Calibri"/>
          <w:noProof/>
        </w:rPr>
        <w:t xml:space="preserve">, L., </w:t>
      </w:r>
      <w:r w:rsidR="00153F48">
        <w:rPr>
          <w:rFonts w:eastAsia="SimSun" w:cs="Calibri"/>
          <w:noProof/>
        </w:rPr>
        <w:t>Eugster, W., Stieger, J., Zahniser, M., Nelson, D. and Buchmann N.: Greenhouse gas budget (CO2, CH4, and N2O) of intensively managed grassland following restoration. Global Change Biology, 20. 1913-1928, 2014.</w:t>
      </w:r>
    </w:p>
    <w:p w14:paraId="2BEBC82F" w14:textId="77777777" w:rsidR="00183EF7" w:rsidRPr="00183EF7" w:rsidRDefault="00183EF7" w:rsidP="00183EF7">
      <w:pPr>
        <w:rPr>
          <w:rFonts w:eastAsia="SimSun" w:cs="Calibri"/>
          <w:noProof/>
        </w:rPr>
      </w:pPr>
      <w:r w:rsidRPr="00183EF7">
        <w:rPr>
          <w:rFonts w:eastAsia="SimSun" w:cs="Calibri"/>
          <w:b/>
          <w:noProof/>
        </w:rPr>
        <w:t>Papen</w:t>
      </w:r>
      <w:r w:rsidRPr="00183EF7">
        <w:rPr>
          <w:rFonts w:eastAsia="SimSun" w:cs="Calibri"/>
          <w:noProof/>
        </w:rPr>
        <w:t>, H., Butterbach-Bahl, K.: A 3-year continuous record of nitrogen trace gas fluxes from untreated and limed soil of a N-saturated spruce and beech forest ecosystem in Germany, 1. N</w:t>
      </w:r>
      <w:r w:rsidRPr="00183EF7">
        <w:rPr>
          <w:rFonts w:eastAsia="SimSun" w:cs="Calibri"/>
          <w:noProof/>
          <w:vertAlign w:val="subscript"/>
        </w:rPr>
        <w:t>2</w:t>
      </w:r>
      <w:r w:rsidRPr="00183EF7">
        <w:rPr>
          <w:rFonts w:eastAsia="SimSun" w:cs="Calibri"/>
          <w:noProof/>
        </w:rPr>
        <w:t>O emissions. Journal of Geophysical Research, 104, 18487</w:t>
      </w:r>
      <w:r>
        <w:rPr>
          <w:rFonts w:eastAsia="SimSun"/>
          <w:noProof/>
        </w:rPr>
        <w:sym w:font="Symbol" w:char="F02D"/>
      </w:r>
      <w:r w:rsidRPr="00183EF7">
        <w:rPr>
          <w:rFonts w:eastAsia="SimSun" w:cs="Calibri"/>
          <w:noProof/>
        </w:rPr>
        <w:t>18503, 1999.</w:t>
      </w:r>
    </w:p>
    <w:p w14:paraId="0F6B8C2B" w14:textId="77777777" w:rsidR="00183EF7" w:rsidRPr="00183EF7" w:rsidRDefault="00183EF7" w:rsidP="00183EF7">
      <w:pPr>
        <w:rPr>
          <w:rFonts w:eastAsia="SimSun" w:cs="Calibri"/>
          <w:noProof/>
        </w:rPr>
      </w:pPr>
      <w:r w:rsidRPr="00183EF7">
        <w:rPr>
          <w:rFonts w:eastAsia="SimSun" w:cs="Calibri"/>
          <w:b/>
          <w:noProof/>
        </w:rPr>
        <w:t>Pihlatie</w:t>
      </w:r>
      <w:r w:rsidRPr="00183EF7">
        <w:rPr>
          <w:rFonts w:eastAsia="SimSun" w:cs="Calibri"/>
          <w:noProof/>
        </w:rPr>
        <w:t>, M. K., Christiansen, J. R., Aaltonen, H., Korhonen, J. F. J., Nordbo, A., Rasilo, T., Benanti, G., Giebels, M., Helmy, M., Sheehy, J., Jones, S., Juszczak, R., Klefoth, R., Lobo-do-Vale, R., Rosa, A. P., Schreiber, P., Serca, D., Vicca, S., Wolf, B., and Pumpanen, J.: Comparison of static chambers to measure CH</w:t>
      </w:r>
      <w:r w:rsidRPr="00183EF7">
        <w:rPr>
          <w:rFonts w:eastAsia="SimSun" w:cs="Calibri"/>
          <w:noProof/>
          <w:vertAlign w:val="subscript"/>
        </w:rPr>
        <w:t>4</w:t>
      </w:r>
      <w:r w:rsidRPr="00183EF7">
        <w:rPr>
          <w:rFonts w:eastAsia="SimSun" w:cs="Calibri"/>
          <w:noProof/>
        </w:rPr>
        <w:t xml:space="preserve"> emissions from soils, Agricultural and Forest Meteorology, 171, 124</w:t>
      </w:r>
      <w:r>
        <w:rPr>
          <w:rFonts w:eastAsia="SimSun"/>
          <w:noProof/>
        </w:rPr>
        <w:sym w:font="Symbol" w:char="F02D"/>
      </w:r>
      <w:r w:rsidRPr="00183EF7">
        <w:rPr>
          <w:rFonts w:eastAsia="SimSun" w:cs="Calibri"/>
          <w:noProof/>
        </w:rPr>
        <w:t>136, 2013.</w:t>
      </w:r>
    </w:p>
    <w:p w14:paraId="2BECFFF9" w14:textId="77777777" w:rsidR="00183EF7" w:rsidRPr="00183EF7" w:rsidRDefault="00183EF7" w:rsidP="00183EF7">
      <w:pPr>
        <w:rPr>
          <w:rFonts w:eastAsia="SimSun" w:cs="Calibri"/>
          <w:noProof/>
        </w:rPr>
      </w:pPr>
      <w:bookmarkStart w:id="1" w:name="_ENREF_11"/>
      <w:r w:rsidRPr="00183EF7">
        <w:rPr>
          <w:rFonts w:eastAsia="SimSun" w:cs="Calibri"/>
          <w:b/>
          <w:noProof/>
        </w:rPr>
        <w:t>Pumpanen</w:t>
      </w:r>
      <w:r w:rsidRPr="00183EF7">
        <w:rPr>
          <w:rFonts w:eastAsia="SimSun" w:cs="Calibri"/>
          <w:noProof/>
        </w:rPr>
        <w:t>, J., Kolari, P., Ilvesniemi, H., Minkkinen, K., Vesala, T., Niinisto, S., Lohila, A., Larmola, T., Morero, M., Pihlatie, M., Janssens, I., Yuste, J. C., Grunzweig, J. M., Reth, S., Subke, J. A., Savage, K., Kutsch, W., Ostreng, G., Ziegler, W., Anthoni, P., Lindroth, A., and Hari, P.: Comparison of different chamber techniques for measuring soil CO</w:t>
      </w:r>
      <w:r w:rsidRPr="00183EF7">
        <w:rPr>
          <w:rFonts w:eastAsia="SimSun" w:cs="Calibri"/>
          <w:noProof/>
          <w:vertAlign w:val="subscript"/>
        </w:rPr>
        <w:t>2</w:t>
      </w:r>
      <w:r w:rsidRPr="00183EF7">
        <w:rPr>
          <w:rFonts w:eastAsia="SimSun" w:cs="Calibri"/>
          <w:noProof/>
        </w:rPr>
        <w:t xml:space="preserve"> efflux, Agricultural and Forest Meteorology, 123, 159</w:t>
      </w:r>
      <w:r>
        <w:rPr>
          <w:rFonts w:eastAsia="SimSun"/>
          <w:noProof/>
        </w:rPr>
        <w:sym w:font="Symbol" w:char="F02D"/>
      </w:r>
      <w:r w:rsidRPr="00183EF7">
        <w:rPr>
          <w:rFonts w:eastAsia="SimSun" w:cs="Calibri"/>
          <w:noProof/>
        </w:rPr>
        <w:t>176, 2004.</w:t>
      </w:r>
      <w:bookmarkEnd w:id="1"/>
    </w:p>
    <w:p w14:paraId="3E24CFB2" w14:textId="77777777" w:rsidR="00183EF7" w:rsidRPr="00183EF7" w:rsidRDefault="00183EF7" w:rsidP="00183EF7">
      <w:pPr>
        <w:rPr>
          <w:rFonts w:eastAsia="SimSun" w:cs="Calibri"/>
          <w:noProof/>
        </w:rPr>
      </w:pPr>
      <w:r w:rsidRPr="00183EF7">
        <w:rPr>
          <w:rFonts w:eastAsia="SimSun" w:cs="Calibri"/>
          <w:b/>
          <w:noProof/>
        </w:rPr>
        <w:t>Rosenkranz</w:t>
      </w:r>
      <w:r w:rsidRPr="00183EF7">
        <w:rPr>
          <w:rFonts w:eastAsia="SimSun" w:cs="Calibri"/>
          <w:noProof/>
        </w:rPr>
        <w:t>, P., Brüggemann, N., Papen, H., Xu, Z., Horváth, L., Butterbach-Bahl, K.: Soil N and C trace gas fluxes and microbial soil N turnover in a sessile oak (</w:t>
      </w:r>
      <w:r w:rsidRPr="00183EF7">
        <w:rPr>
          <w:rFonts w:eastAsia="SimSun" w:cs="Calibri"/>
          <w:i/>
          <w:noProof/>
        </w:rPr>
        <w:t>Quercus petraea</w:t>
      </w:r>
      <w:r w:rsidRPr="00183EF7">
        <w:rPr>
          <w:rFonts w:eastAsia="SimSun" w:cs="Calibri"/>
          <w:noProof/>
        </w:rPr>
        <w:t xml:space="preserve"> (Matt.) Liebl.) forest in Hungary. Plant and Soil, 286, 301</w:t>
      </w:r>
      <w:r>
        <w:rPr>
          <w:rFonts w:eastAsia="SimSun"/>
          <w:noProof/>
        </w:rPr>
        <w:sym w:font="Symbol" w:char="F02D"/>
      </w:r>
      <w:r w:rsidRPr="00183EF7">
        <w:rPr>
          <w:rFonts w:eastAsia="SimSun" w:cs="Calibri"/>
          <w:noProof/>
        </w:rPr>
        <w:t>22, 2006.</w:t>
      </w:r>
    </w:p>
    <w:p w14:paraId="2540AA25" w14:textId="77777777" w:rsidR="00183EF7" w:rsidRDefault="00183EF7" w:rsidP="00183EF7">
      <w:r w:rsidRPr="00183EF7">
        <w:rPr>
          <w:rFonts w:eastAsia="SimSun" w:cs="Calibri"/>
          <w:b/>
          <w:noProof/>
        </w:rPr>
        <w:t xml:space="preserve">Zeeman, </w:t>
      </w:r>
      <w:r w:rsidRPr="00183EF7">
        <w:rPr>
          <w:rFonts w:eastAsia="SimSun" w:cs="Calibri"/>
          <w:noProof/>
        </w:rPr>
        <w:t>M.J.</w:t>
      </w:r>
      <w:r>
        <w:rPr>
          <w:rFonts w:eastAsia="SimSun" w:cs="Calibri"/>
          <w:noProof/>
        </w:rPr>
        <w:t xml:space="preserve"> et al.: Management and climate impacts on net CO2 fluxes and carbon budgets of three grassland along an elevational gradient in Switzerland. Agricultural and Forest Meteorology, 150, 519-530, 2012. </w:t>
      </w:r>
    </w:p>
    <w:sectPr w:rsidR="00183EF7"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FB98E" w14:textId="77777777" w:rsidR="004B0584" w:rsidRDefault="004B0584" w:rsidP="00446697">
      <w:r>
        <w:separator/>
      </w:r>
    </w:p>
  </w:endnote>
  <w:endnote w:type="continuationSeparator" w:id="0">
    <w:p w14:paraId="210374D9" w14:textId="77777777" w:rsidR="004B0584" w:rsidRDefault="004B0584"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853C" w14:textId="77777777" w:rsidR="004B0584" w:rsidRDefault="004B0584" w:rsidP="0032758B">
    <w:pPr>
      <w:pStyle w:val="Footer"/>
      <w:tabs>
        <w:tab w:val="clear" w:pos="4680"/>
        <w:tab w:val="clear" w:pos="9360"/>
        <w:tab w:val="center" w:pos="5103"/>
        <w:tab w:val="right" w:pos="10065"/>
      </w:tabs>
    </w:pPr>
    <w:r>
      <w:t>30nov2011</w:t>
    </w:r>
  </w:p>
  <w:p w14:paraId="287F33E0" w14:textId="77777777" w:rsidR="004B0584" w:rsidRDefault="004B0584"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fldChar w:fldCharType="begin"/>
    </w:r>
    <w:r>
      <w:instrText xml:space="preserve"> PAGE    \* MERGEFORMAT </w:instrText>
    </w:r>
    <w:r>
      <w:fldChar w:fldCharType="separate"/>
    </w:r>
    <w:r w:rsidR="00935560">
      <w:rPr>
        <w:noProof/>
      </w:rPr>
      <w:t>5</w:t>
    </w:r>
    <w:r>
      <w:rPr>
        <w:noProof/>
      </w:rPr>
      <w:fldChar w:fldCharType="end"/>
    </w:r>
    <w:r w:rsidRPr="00CD4EFD">
      <w:t xml:space="preserve"> ~</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C160C" w14:textId="77777777" w:rsidR="004B0584" w:rsidRDefault="004B0584" w:rsidP="00446697">
      <w:r>
        <w:separator/>
      </w:r>
    </w:p>
  </w:footnote>
  <w:footnote w:type="continuationSeparator" w:id="0">
    <w:p w14:paraId="6E94698D" w14:textId="77777777" w:rsidR="004B0584" w:rsidRDefault="004B0584" w:rsidP="004466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BD5A" w14:textId="77777777" w:rsidR="004B0584" w:rsidRDefault="004B0584" w:rsidP="00446697">
    <w:pPr>
      <w:pStyle w:val="Header"/>
      <w:jc w:val="right"/>
    </w:pPr>
    <w:r>
      <w:rPr>
        <w:noProof/>
      </w:rPr>
      <w:drawing>
        <wp:inline distT="0" distB="0" distL="0" distR="0" wp14:anchorId="77BEC716" wp14:editId="6CE89252">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153F48"/>
    <w:rsid w:val="00183EF7"/>
    <w:rsid w:val="002D14E9"/>
    <w:rsid w:val="0032758B"/>
    <w:rsid w:val="004007C4"/>
    <w:rsid w:val="004274C0"/>
    <w:rsid w:val="00446697"/>
    <w:rsid w:val="004B0584"/>
    <w:rsid w:val="005634C3"/>
    <w:rsid w:val="005F0316"/>
    <w:rsid w:val="006A223B"/>
    <w:rsid w:val="007D0D4B"/>
    <w:rsid w:val="00861515"/>
    <w:rsid w:val="00893E57"/>
    <w:rsid w:val="008A3947"/>
    <w:rsid w:val="008F5B2D"/>
    <w:rsid w:val="00935560"/>
    <w:rsid w:val="00B26202"/>
    <w:rsid w:val="00BE06BB"/>
    <w:rsid w:val="00CA42B3"/>
    <w:rsid w:val="00CD4EFD"/>
    <w:rsid w:val="00E05013"/>
    <w:rsid w:val="00E72258"/>
    <w:rsid w:val="00F20757"/>
    <w:rsid w:val="00F4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886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8F5B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8F5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2185</Words>
  <Characters>12456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Lutz Merbold</cp:lastModifiedBy>
  <cp:revision>6</cp:revision>
  <dcterms:created xsi:type="dcterms:W3CDTF">2014-07-28T08:19:00Z</dcterms:created>
  <dcterms:modified xsi:type="dcterms:W3CDTF">2014-07-28T08:38:00Z</dcterms:modified>
</cp:coreProperties>
</file>