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697" w:rsidRPr="004007C4" w:rsidRDefault="00446697" w:rsidP="00446697">
      <w:pPr>
        <w:pStyle w:val="Heading1"/>
        <w:rPr>
          <w:rFonts w:ascii="Trebuchet MS" w:hAnsi="Trebuchet MS"/>
        </w:rPr>
      </w:pPr>
      <w:r w:rsidRPr="004007C4">
        <w:rPr>
          <w:rFonts w:ascii="Trebuchet MS" w:hAnsi="Trebuchet MS"/>
        </w:rPr>
        <w:t>InGOS – Integrated non-CO</w:t>
      </w:r>
      <w:r w:rsidRPr="004007C4">
        <w:rPr>
          <w:rFonts w:ascii="Trebuchet MS" w:hAnsi="Trebuchet MS"/>
          <w:vertAlign w:val="subscript"/>
        </w:rPr>
        <w:t>2</w:t>
      </w:r>
      <w:r w:rsidR="00570D32">
        <w:rPr>
          <w:rFonts w:ascii="Trebuchet MS" w:hAnsi="Trebuchet MS"/>
        </w:rPr>
        <w:t xml:space="preserve">GHG </w:t>
      </w:r>
      <w:r w:rsidR="00CD4EFD" w:rsidRPr="004007C4">
        <w:rPr>
          <w:rFonts w:ascii="Trebuchet MS" w:hAnsi="Trebuchet MS"/>
        </w:rPr>
        <w:t>Observing S</w:t>
      </w:r>
      <w:r w:rsidRPr="004007C4">
        <w:rPr>
          <w:rFonts w:ascii="Trebuchet MS" w:hAnsi="Trebuchet MS"/>
        </w:rPr>
        <w:t>ystem</w:t>
      </w:r>
    </w:p>
    <w:p w:rsidR="00446697" w:rsidRDefault="00446697"/>
    <w:p w:rsidR="00CD4EFD" w:rsidRDefault="00446697">
      <w:r>
        <w:t>Detailed workplan</w:t>
      </w:r>
      <w:r w:rsidR="00F45FF8">
        <w:t>, appendix to the online application</w:t>
      </w:r>
      <w:r w:rsidR="004274C0">
        <w:t xml:space="preserve">. </w:t>
      </w:r>
      <w:r>
        <w:t xml:space="preserve">Request for </w:t>
      </w:r>
      <w:r w:rsidR="005634C3">
        <w:t>access to an infrastructure (TNA1-TNA2-TNA3)</w:t>
      </w:r>
      <w:r w:rsidR="004274C0">
        <w:t xml:space="preserve">. </w:t>
      </w:r>
      <w:r w:rsidR="00861515">
        <w:t>The plan must not exceed 6 pages in 12 pt single line spacing, applications exceeding this limit will not be evaluated. The following information should be included in order to be evaluated:</w:t>
      </w:r>
    </w:p>
    <w:p w:rsidR="00861515" w:rsidRDefault="00861515"/>
    <w:p w:rsidR="00CD4EFD" w:rsidRDefault="00861515" w:rsidP="00F20757">
      <w:pPr>
        <w:pStyle w:val="ListParagraph"/>
        <w:numPr>
          <w:ilvl w:val="0"/>
          <w:numId w:val="1"/>
        </w:numPr>
        <w:ind w:left="360"/>
        <w:rPr>
          <w:b/>
        </w:rPr>
      </w:pPr>
      <w:r>
        <w:rPr>
          <w:b/>
        </w:rPr>
        <w:t>Project name (acronym), name and contact information of the researcher</w:t>
      </w:r>
      <w:r w:rsidR="00F20757">
        <w:rPr>
          <w:b/>
        </w:rPr>
        <w:t>(s)</w:t>
      </w:r>
      <w:r>
        <w:rPr>
          <w:b/>
        </w:rPr>
        <w:t>, duration of the project (dates, number of working days)</w:t>
      </w:r>
      <w:r w:rsidR="00E05013">
        <w:rPr>
          <w:b/>
        </w:rPr>
        <w:t>, type and name of the infrastructure requested</w:t>
      </w:r>
    </w:p>
    <w:p w:rsidR="00861515" w:rsidRDefault="00861515" w:rsidP="00F20757">
      <w:pPr>
        <w:rPr>
          <w:b/>
        </w:rPr>
      </w:pPr>
    </w:p>
    <w:p w:rsidR="00B16CAB" w:rsidRDefault="00B16CAB" w:rsidP="00F20757">
      <w:pPr>
        <w:rPr>
          <w:b/>
        </w:rPr>
      </w:pPr>
      <w:r>
        <w:rPr>
          <w:b/>
        </w:rPr>
        <w:t xml:space="preserve">Project: </w:t>
      </w:r>
      <w:r>
        <w:rPr>
          <w:b/>
        </w:rPr>
        <w:tab/>
      </w:r>
      <w:r>
        <w:rPr>
          <w:b/>
        </w:rPr>
        <w:tab/>
      </w:r>
      <w:r w:rsidRPr="00B16CAB">
        <w:rPr>
          <w:rFonts w:cstheme="minorHAnsi"/>
        </w:rPr>
        <w:t>H</w:t>
      </w:r>
      <w:r w:rsidRPr="00B16CAB">
        <w:rPr>
          <w:rFonts w:cstheme="minorHAnsi"/>
          <w:vertAlign w:val="subscript"/>
        </w:rPr>
        <w:t>2</w:t>
      </w:r>
      <w:r w:rsidR="00747713" w:rsidRPr="00747713">
        <w:rPr>
          <w:rFonts w:cstheme="minorHAnsi"/>
        </w:rPr>
        <w:t xml:space="preserve"> </w:t>
      </w:r>
      <w:r w:rsidRPr="008A1BFA">
        <w:t xml:space="preserve">isotope measurements </w:t>
      </w:r>
      <w:r w:rsidR="008A1BFA" w:rsidRPr="008A1BFA">
        <w:t>at Kasprowy Wierch</w:t>
      </w:r>
    </w:p>
    <w:p w:rsidR="00B16CAB" w:rsidRPr="00B16CAB" w:rsidRDefault="00B16CAB" w:rsidP="00F20757">
      <w:pPr>
        <w:rPr>
          <w:b/>
        </w:rPr>
      </w:pPr>
      <w:r>
        <w:rPr>
          <w:b/>
        </w:rPr>
        <w:t>Researcher:</w:t>
      </w:r>
      <w:r>
        <w:rPr>
          <w:b/>
        </w:rPr>
        <w:tab/>
      </w:r>
      <w:r>
        <w:rPr>
          <w:b/>
        </w:rPr>
        <w:tab/>
      </w:r>
      <w:r w:rsidRPr="00B16CAB">
        <w:t>Elena Popa, IMAU, Utrecht University, Utrecht, The Netherlands</w:t>
      </w:r>
    </w:p>
    <w:p w:rsidR="00B16CAB" w:rsidRDefault="00B16CAB" w:rsidP="00B16CAB">
      <w:pPr>
        <w:ind w:left="1440" w:firstLine="720"/>
        <w:rPr>
          <w:lang w:val="pl-PL"/>
        </w:rPr>
      </w:pPr>
      <w:r w:rsidRPr="00656530">
        <w:rPr>
          <w:lang w:val="pl-PL"/>
        </w:rPr>
        <w:t xml:space="preserve">epopa2@yahoo.com </w:t>
      </w:r>
    </w:p>
    <w:p w:rsidR="00B16CAB" w:rsidRPr="00656530" w:rsidRDefault="00B16CAB" w:rsidP="00F20757">
      <w:pPr>
        <w:rPr>
          <w:lang w:val="pl-PL"/>
        </w:rPr>
      </w:pPr>
      <w:r w:rsidRPr="00656530">
        <w:rPr>
          <w:b/>
          <w:lang w:val="pl-PL"/>
        </w:rPr>
        <w:t>Infrastructure:</w:t>
      </w:r>
      <w:r w:rsidRPr="00656530">
        <w:rPr>
          <w:b/>
          <w:lang w:val="pl-PL"/>
        </w:rPr>
        <w:tab/>
      </w:r>
      <w:r w:rsidRPr="00656530">
        <w:rPr>
          <w:lang w:val="pl-PL"/>
        </w:rPr>
        <w:t>station, Kasprowy Wierch, Poland</w:t>
      </w:r>
    </w:p>
    <w:p w:rsidR="00A323E0" w:rsidRPr="00656530" w:rsidRDefault="00A323E0" w:rsidP="00A323E0">
      <w:pPr>
        <w:rPr>
          <w:lang w:val="pl-PL"/>
        </w:rPr>
      </w:pPr>
      <w:r>
        <w:rPr>
          <w:b/>
          <w:lang w:val="pl-PL"/>
        </w:rPr>
        <w:t>Station access</w:t>
      </w:r>
      <w:r w:rsidRPr="00A323E0">
        <w:rPr>
          <w:b/>
          <w:lang w:val="pl-PL"/>
        </w:rPr>
        <w:t>:</w:t>
      </w:r>
      <w:r>
        <w:rPr>
          <w:lang w:val="pl-PL"/>
        </w:rPr>
        <w:t xml:space="preserve"> </w:t>
      </w:r>
      <w:r>
        <w:rPr>
          <w:lang w:val="pl-PL"/>
        </w:rPr>
        <w:tab/>
        <w:t>16 days, May-2014 – July- 2015</w:t>
      </w:r>
    </w:p>
    <w:p w:rsidR="00B16CAB" w:rsidRPr="00656530" w:rsidRDefault="00B16CAB" w:rsidP="00F20757">
      <w:pPr>
        <w:rPr>
          <w:lang w:val="pl-PL"/>
        </w:rPr>
      </w:pPr>
    </w:p>
    <w:p w:rsidR="00B16CAB" w:rsidRPr="00656530" w:rsidRDefault="00B16CAB" w:rsidP="00F20757">
      <w:pPr>
        <w:rPr>
          <w:b/>
          <w:lang w:val="pl-PL"/>
        </w:rPr>
      </w:pPr>
    </w:p>
    <w:p w:rsidR="00861515" w:rsidRDefault="00861515" w:rsidP="00F20757">
      <w:pPr>
        <w:pStyle w:val="ListParagraph"/>
        <w:numPr>
          <w:ilvl w:val="0"/>
          <w:numId w:val="1"/>
        </w:numPr>
        <w:ind w:left="360"/>
        <w:rPr>
          <w:b/>
        </w:rPr>
      </w:pPr>
      <w:r>
        <w:rPr>
          <w:b/>
        </w:rPr>
        <w:t>Background</w:t>
      </w:r>
    </w:p>
    <w:p w:rsidR="005337AD" w:rsidRDefault="005337AD" w:rsidP="005337AD">
      <w:pPr>
        <w:pStyle w:val="ListParagraph"/>
        <w:ind w:left="360"/>
        <w:rPr>
          <w:b/>
        </w:rPr>
      </w:pPr>
    </w:p>
    <w:p w:rsidR="00861515" w:rsidRDefault="00861515" w:rsidP="00F20757">
      <w:pPr>
        <w:pStyle w:val="ListParagraph"/>
        <w:numPr>
          <w:ilvl w:val="1"/>
          <w:numId w:val="1"/>
        </w:numPr>
        <w:ind w:left="1080"/>
      </w:pPr>
      <w:r w:rsidRPr="00F20757">
        <w:t>Significance of the research</w:t>
      </w:r>
    </w:p>
    <w:p w:rsidR="005337AD" w:rsidRDefault="005337AD" w:rsidP="005337AD">
      <w:pPr>
        <w:pStyle w:val="ListParagraph"/>
        <w:ind w:left="1080"/>
      </w:pPr>
    </w:p>
    <w:p w:rsidR="00B16CAB" w:rsidRDefault="00B16CAB" w:rsidP="00B16CAB">
      <w:r>
        <w:t>Atmospheric molecular hydrogen (</w:t>
      </w:r>
      <w:r w:rsidRPr="00E5439A">
        <w:rPr>
          <w:rFonts w:cstheme="minorHAnsi"/>
        </w:rPr>
        <w:t>H</w:t>
      </w:r>
      <w:r w:rsidRPr="00E5439A">
        <w:rPr>
          <w:rFonts w:cstheme="minorHAnsi"/>
          <w:vertAlign w:val="subscript"/>
        </w:rPr>
        <w:t>2</w:t>
      </w:r>
      <w:r>
        <w:t>) is an important component of the atmosphere and a participant to atmospheric chemistry</w:t>
      </w:r>
      <w:r w:rsidR="006904A0">
        <w:t xml:space="preserve">. </w:t>
      </w:r>
      <w:r w:rsidR="006904A0" w:rsidRPr="006904A0">
        <w:t>H</w:t>
      </w:r>
      <w:r w:rsidR="006904A0" w:rsidRPr="006904A0">
        <w:rPr>
          <w:vertAlign w:val="subscript"/>
        </w:rPr>
        <w:t>2</w:t>
      </w:r>
      <w:r w:rsidR="006904A0" w:rsidRPr="006904A0">
        <w:t xml:space="preserve"> is emitted to the atmosphere from natural processes, but it has also important anthropogenic sources, mainly from burning processes. The main sinks for the atmospheric H</w:t>
      </w:r>
      <w:r w:rsidR="006904A0" w:rsidRPr="006904A0">
        <w:rPr>
          <w:vertAlign w:val="subscript"/>
        </w:rPr>
        <w:t>2</w:t>
      </w:r>
      <w:r w:rsidR="006904A0" w:rsidRPr="006904A0">
        <w:t xml:space="preserve"> are uptake by soil and reaction with OH radicals. </w:t>
      </w:r>
      <w:r w:rsidR="006904A0">
        <w:t xml:space="preserve">Through its reaction with OH, which affects the lifetimes of methane and tropospheric ozone, </w:t>
      </w:r>
      <w:r w:rsidR="006904A0" w:rsidRPr="00E5439A">
        <w:rPr>
          <w:rFonts w:cstheme="minorHAnsi"/>
        </w:rPr>
        <w:t>H</w:t>
      </w:r>
      <w:r w:rsidR="006904A0" w:rsidRPr="00E5439A">
        <w:rPr>
          <w:rFonts w:cstheme="minorHAnsi"/>
          <w:vertAlign w:val="subscript"/>
        </w:rPr>
        <w:t>2</w:t>
      </w:r>
      <w:r w:rsidR="006904A0">
        <w:t xml:space="preserve"> is an indirect greenhouse gas; its GWP has been estimated at 5.8 (Derwent et al., 2006). </w:t>
      </w:r>
    </w:p>
    <w:p w:rsidR="00FE6DFD" w:rsidRDefault="00FE6DFD" w:rsidP="00B16CAB">
      <w:r>
        <w:t xml:space="preserve">The isotopic composition of atmospheric </w:t>
      </w:r>
      <w:r w:rsidRPr="00E5439A">
        <w:rPr>
          <w:rFonts w:cstheme="minorHAnsi"/>
        </w:rPr>
        <w:t>H</w:t>
      </w:r>
      <w:r w:rsidRPr="00E5439A">
        <w:rPr>
          <w:rFonts w:cstheme="minorHAnsi"/>
          <w:vertAlign w:val="subscript"/>
        </w:rPr>
        <w:t>2</w:t>
      </w:r>
      <w:r>
        <w:t xml:space="preserve"> is a powerful tool to identify sources, sinks and processes, because most of these are associated with large isotopic signatures (due to the large relative mass differences between molecules, e.g. mass(HH) = 2 and mass(HD) = 3). </w:t>
      </w:r>
    </w:p>
    <w:p w:rsidR="00FE6DFD" w:rsidRDefault="00FE6DFD" w:rsidP="00B16CAB">
      <w:r>
        <w:t xml:space="preserve">Among the sinks, </w:t>
      </w:r>
      <w:r w:rsidR="00FE5372">
        <w:t xml:space="preserve">the </w:t>
      </w:r>
      <w:r>
        <w:t xml:space="preserve">oxidation by OH is associated with </w:t>
      </w:r>
      <w:r w:rsidR="00FE5372">
        <w:t xml:space="preserve">very </w:t>
      </w:r>
      <w:r>
        <w:t>large fractionation, the HH molecules reacting almost twice faster than</w:t>
      </w:r>
      <w:r w:rsidR="00FE5372">
        <w:t xml:space="preserve"> the HD molecules, while the uptake by soil occurs with almost equal speeds for HH and HD. In the absence of large local sources, measurements of the isotopic composition of </w:t>
      </w:r>
      <w:r w:rsidR="00FE5372" w:rsidRPr="00E5439A">
        <w:rPr>
          <w:rFonts w:cstheme="minorHAnsi"/>
        </w:rPr>
        <w:t>H</w:t>
      </w:r>
      <w:r w:rsidR="00FE5372" w:rsidRPr="00E5439A">
        <w:rPr>
          <w:rFonts w:cstheme="minorHAnsi"/>
          <w:vertAlign w:val="subscript"/>
        </w:rPr>
        <w:t>2</w:t>
      </w:r>
      <w:r w:rsidR="00FE5372">
        <w:t xml:space="preserve"> can thus help partitioning the contribution of the two main sinks</w:t>
      </w:r>
      <w:r w:rsidR="008A1BFA">
        <w:t xml:space="preserve"> of </w:t>
      </w:r>
      <w:r w:rsidR="008A1BFA" w:rsidRPr="00E5439A">
        <w:rPr>
          <w:rFonts w:cstheme="minorHAnsi"/>
        </w:rPr>
        <w:t>H</w:t>
      </w:r>
      <w:r w:rsidR="008A1BFA" w:rsidRPr="00E5439A">
        <w:rPr>
          <w:rFonts w:cstheme="minorHAnsi"/>
          <w:vertAlign w:val="subscript"/>
        </w:rPr>
        <w:t>2</w:t>
      </w:r>
      <w:r w:rsidR="008A1BFA">
        <w:t>, namely soil uptake and oxidation by OH</w:t>
      </w:r>
      <w:r w:rsidR="00FE5372">
        <w:t xml:space="preserve">. </w:t>
      </w:r>
    </w:p>
    <w:p w:rsidR="006F46F8" w:rsidRPr="00F20757" w:rsidRDefault="006F46F8" w:rsidP="00B16CAB"/>
    <w:p w:rsidR="00861515" w:rsidRDefault="00861515" w:rsidP="00F20757">
      <w:pPr>
        <w:pStyle w:val="ListParagraph"/>
        <w:numPr>
          <w:ilvl w:val="1"/>
          <w:numId w:val="1"/>
        </w:numPr>
        <w:ind w:left="1080"/>
      </w:pPr>
      <w:r w:rsidRPr="00F20757">
        <w:t>Previous research relevant to the topic and how the proposed project links to this</w:t>
      </w:r>
    </w:p>
    <w:p w:rsidR="006F46F8" w:rsidRDefault="006F46F8" w:rsidP="002B305B"/>
    <w:p w:rsidR="006F46F8" w:rsidRDefault="002B305B" w:rsidP="002B305B">
      <w:r>
        <w:t xml:space="preserve">Measurements of atmospheric </w:t>
      </w:r>
      <w:r w:rsidRPr="00E5439A">
        <w:rPr>
          <w:rFonts w:cstheme="minorHAnsi"/>
        </w:rPr>
        <w:t>H</w:t>
      </w:r>
      <w:r w:rsidRPr="00E5439A">
        <w:rPr>
          <w:rFonts w:cstheme="minorHAnsi"/>
          <w:vertAlign w:val="subscript"/>
        </w:rPr>
        <w:t>2</w:t>
      </w:r>
      <w:r>
        <w:t xml:space="preserve"> mole fractions have been performed at Kasprowy Wierch </w:t>
      </w:r>
      <w:r w:rsidRPr="008377CC">
        <w:t xml:space="preserve">since </w:t>
      </w:r>
      <w:r w:rsidR="00656530" w:rsidRPr="008377CC">
        <w:t xml:space="preserve">2009, when </w:t>
      </w:r>
      <w:r w:rsidR="002B5922" w:rsidRPr="008377CC">
        <w:t xml:space="preserve">a </w:t>
      </w:r>
      <w:r w:rsidR="00656530" w:rsidRPr="008377CC">
        <w:t>PP</w:t>
      </w:r>
      <w:r w:rsidR="002B5922" w:rsidRPr="008377CC">
        <w:t>1</w:t>
      </w:r>
      <w:r w:rsidR="00656530" w:rsidRPr="008377CC">
        <w:t xml:space="preserve"> instrument was installed</w:t>
      </w:r>
      <w:r w:rsidRPr="008377CC">
        <w:t xml:space="preserve"> (</w:t>
      </w:r>
      <w:r w:rsidR="00656530" w:rsidRPr="008377CC">
        <w:t>Necki et al.,</w:t>
      </w:r>
      <w:r w:rsidR="002B5922" w:rsidRPr="008377CC">
        <w:t xml:space="preserve"> </w:t>
      </w:r>
      <w:r w:rsidR="00656530" w:rsidRPr="008377CC">
        <w:t>2012</w:t>
      </w:r>
      <w:r w:rsidRPr="008377CC">
        <w:t>).</w:t>
      </w:r>
      <w:r>
        <w:t xml:space="preserve"> </w:t>
      </w:r>
      <w:r w:rsidR="0084491A">
        <w:t>L</w:t>
      </w:r>
      <w:r>
        <w:t xml:space="preserve">ocal and regional </w:t>
      </w:r>
      <w:r w:rsidRPr="00E5439A">
        <w:rPr>
          <w:rFonts w:cstheme="minorHAnsi"/>
        </w:rPr>
        <w:t>H</w:t>
      </w:r>
      <w:r w:rsidRPr="00E5439A">
        <w:rPr>
          <w:rFonts w:cstheme="minorHAnsi"/>
          <w:vertAlign w:val="subscript"/>
        </w:rPr>
        <w:t>2</w:t>
      </w:r>
      <w:r>
        <w:t xml:space="preserve"> </w:t>
      </w:r>
      <w:r>
        <w:lastRenderedPageBreak/>
        <w:t xml:space="preserve">flux components have been studied extensively at AGH Krakow (e.g. Bartyzel et al., 2013). </w:t>
      </w:r>
      <w:r w:rsidR="006F46F8">
        <w:t xml:space="preserve">Work is currently being done at AGH Krakow for a thorough assessment of the </w:t>
      </w:r>
      <w:r w:rsidR="006F46F8" w:rsidRPr="00E5439A">
        <w:rPr>
          <w:rFonts w:cstheme="minorHAnsi"/>
        </w:rPr>
        <w:t>H</w:t>
      </w:r>
      <w:r w:rsidR="006F46F8" w:rsidRPr="00E5439A">
        <w:rPr>
          <w:rFonts w:cstheme="minorHAnsi"/>
          <w:vertAlign w:val="subscript"/>
        </w:rPr>
        <w:t>2</w:t>
      </w:r>
      <w:r w:rsidR="006F46F8">
        <w:t xml:space="preserve"> budget on regional scale.</w:t>
      </w:r>
    </w:p>
    <w:p w:rsidR="006F46F8" w:rsidRDefault="006F46F8" w:rsidP="002B305B"/>
    <w:p w:rsidR="006F46F8" w:rsidRDefault="006F46F8" w:rsidP="002B305B">
      <w:r>
        <w:t xml:space="preserve">Measurements of </w:t>
      </w:r>
      <w:r w:rsidRPr="00E5439A">
        <w:rPr>
          <w:rFonts w:cstheme="minorHAnsi"/>
        </w:rPr>
        <w:t>H</w:t>
      </w:r>
      <w:r w:rsidRPr="00E5439A">
        <w:rPr>
          <w:rFonts w:cstheme="minorHAnsi"/>
          <w:vertAlign w:val="subscript"/>
        </w:rPr>
        <w:t>2</w:t>
      </w:r>
      <w:r>
        <w:t xml:space="preserve"> isotopic composition are routinely performed at IMAU and have been used extensively for a variety of studies (e.g. Batenburg et al., </w:t>
      </w:r>
      <w:r w:rsidR="0069425B" w:rsidRPr="0069425B">
        <w:t>2011</w:t>
      </w:r>
      <w:r w:rsidRPr="0069425B">
        <w:t xml:space="preserve">, </w:t>
      </w:r>
      <w:r w:rsidR="0069425B" w:rsidRPr="0069425B">
        <w:t>2012</w:t>
      </w:r>
      <w:r w:rsidRPr="0069425B">
        <w:t>,</w:t>
      </w:r>
      <w:r w:rsidR="000E6D3F">
        <w:t xml:space="preserve"> </w:t>
      </w:r>
      <w:r w:rsidR="0069425B" w:rsidRPr="0069425B">
        <w:t>Röckmann et al., 2010</w:t>
      </w:r>
      <w:r w:rsidR="0069425B">
        <w:t>, Vollmer et al., 2012, Walter et al., 2012</w:t>
      </w:r>
      <w:r w:rsidRPr="0069425B">
        <w:t xml:space="preserve">). </w:t>
      </w:r>
      <w:r>
        <w:t xml:space="preserve">Although very useful for understanding the </w:t>
      </w:r>
      <w:r w:rsidRPr="00E5439A">
        <w:rPr>
          <w:rFonts w:cstheme="minorHAnsi"/>
        </w:rPr>
        <w:t>H</w:t>
      </w:r>
      <w:r w:rsidRPr="00E5439A">
        <w:rPr>
          <w:rFonts w:cstheme="minorHAnsi"/>
          <w:vertAlign w:val="subscript"/>
        </w:rPr>
        <w:t>2</w:t>
      </w:r>
      <w:r>
        <w:t xml:space="preserve"> cycle, isotopic measurements are </w:t>
      </w:r>
      <w:r w:rsidR="004C3BC1">
        <w:t xml:space="preserve">difficult to perform and thus only few laboratories have this capability worldwide. Thus </w:t>
      </w:r>
      <w:r w:rsidR="007575F3">
        <w:t xml:space="preserve">not many </w:t>
      </w:r>
      <w:r w:rsidR="007575F3" w:rsidRPr="00E5439A">
        <w:rPr>
          <w:rFonts w:cstheme="minorHAnsi"/>
        </w:rPr>
        <w:t>H</w:t>
      </w:r>
      <w:r w:rsidR="007575F3" w:rsidRPr="00E5439A">
        <w:rPr>
          <w:rFonts w:cstheme="minorHAnsi"/>
          <w:vertAlign w:val="subscript"/>
        </w:rPr>
        <w:t>2</w:t>
      </w:r>
      <w:r w:rsidR="007575F3">
        <w:t xml:space="preserve"> isotope data are available, compared to other atmospheric tracers. </w:t>
      </w:r>
    </w:p>
    <w:p w:rsidR="004C3BC1" w:rsidRPr="00FD52D8" w:rsidRDefault="004C3BC1" w:rsidP="006904A0">
      <w:pPr>
        <w:rPr>
          <w:color w:val="000000" w:themeColor="text1"/>
        </w:rPr>
      </w:pPr>
    </w:p>
    <w:p w:rsidR="00FE5372" w:rsidRPr="00FD52D8" w:rsidRDefault="00FE5372" w:rsidP="006904A0">
      <w:r w:rsidRPr="00FD52D8">
        <w:t xml:space="preserve">The global </w:t>
      </w:r>
      <w:r w:rsidRPr="00FD52D8">
        <w:rPr>
          <w:rFonts w:cstheme="minorHAnsi"/>
        </w:rPr>
        <w:t>H</w:t>
      </w:r>
      <w:r w:rsidRPr="00FD52D8">
        <w:rPr>
          <w:rFonts w:cstheme="minorHAnsi"/>
          <w:vertAlign w:val="subscript"/>
        </w:rPr>
        <w:t>2</w:t>
      </w:r>
      <w:r w:rsidRPr="00FD52D8">
        <w:t xml:space="preserve"> loss by reaction with OH has been estimated based on </w:t>
      </w:r>
      <w:r w:rsidR="004C3BC1" w:rsidRPr="00FD52D8">
        <w:t xml:space="preserve">average </w:t>
      </w:r>
      <w:r w:rsidRPr="00FD52D8">
        <w:rPr>
          <w:rFonts w:cstheme="minorHAnsi"/>
        </w:rPr>
        <w:t>H</w:t>
      </w:r>
      <w:r w:rsidRPr="00FD52D8">
        <w:rPr>
          <w:rFonts w:cstheme="minorHAnsi"/>
          <w:vertAlign w:val="subscript"/>
        </w:rPr>
        <w:t>2</w:t>
      </w:r>
      <w:r w:rsidRPr="00FD52D8">
        <w:t xml:space="preserve"> and OH abundances and their reaction rate. The loca</w:t>
      </w:r>
      <w:r w:rsidR="00E068BD" w:rsidRPr="00FD52D8">
        <w:t>l contribution of this loss process is more difficult to estimate, which translates in difficulties in interpreting measurements and estimating local to regional budgets. The only measurement-based stud</w:t>
      </w:r>
      <w:r w:rsidR="00881834" w:rsidRPr="00FD52D8">
        <w:t>ies</w:t>
      </w:r>
      <w:r w:rsidR="00E068BD" w:rsidRPr="00FD52D8">
        <w:t xml:space="preserve"> dealing with this subject </w:t>
      </w:r>
      <w:r w:rsidR="00881834" w:rsidRPr="00FD52D8">
        <w:t>are</w:t>
      </w:r>
      <w:r w:rsidR="00E068BD" w:rsidRPr="00FD52D8">
        <w:t xml:space="preserve"> the one</w:t>
      </w:r>
      <w:r w:rsidR="00881834" w:rsidRPr="00FD52D8">
        <w:t>s</w:t>
      </w:r>
      <w:r w:rsidR="00E068BD" w:rsidRPr="00FD52D8">
        <w:t xml:space="preserve"> of </w:t>
      </w:r>
      <w:r w:rsidR="00881834" w:rsidRPr="00FD52D8">
        <w:t xml:space="preserve">Rhee et al., 2006 and </w:t>
      </w:r>
      <w:r w:rsidR="00E068BD" w:rsidRPr="00FD52D8">
        <w:t xml:space="preserve">Batenburg et al., </w:t>
      </w:r>
      <w:r w:rsidR="00881834" w:rsidRPr="00FD52D8">
        <w:t>2011</w:t>
      </w:r>
      <w:r w:rsidR="00E068BD" w:rsidRPr="00FD52D8">
        <w:t xml:space="preserve">. </w:t>
      </w:r>
      <w:r w:rsidR="00881834" w:rsidRPr="00FD52D8">
        <w:t xml:space="preserve">They computed the relative contributions of soil uptake and oxidation by OH to the total </w:t>
      </w:r>
      <w:r w:rsidR="00881834" w:rsidRPr="00FD52D8">
        <w:rPr>
          <w:rFonts w:cstheme="minorHAnsi"/>
        </w:rPr>
        <w:t>H</w:t>
      </w:r>
      <w:r w:rsidR="00881834" w:rsidRPr="00FD52D8">
        <w:rPr>
          <w:rFonts w:cstheme="minorHAnsi"/>
          <w:vertAlign w:val="subscript"/>
        </w:rPr>
        <w:t>2</w:t>
      </w:r>
      <w:r w:rsidR="00881834" w:rsidRPr="00FD52D8">
        <w:t xml:space="preserve"> sink, based on the apparent fractionation factor resulted from measurements. They showed that the OH oxidation dominates the total sink at low latitudes, while at high NH latitudes the soil uptake is responsible for up to 90% of </w:t>
      </w:r>
      <w:r w:rsidR="00881834" w:rsidRPr="00FD52D8">
        <w:rPr>
          <w:rFonts w:cstheme="minorHAnsi"/>
        </w:rPr>
        <w:t>H</w:t>
      </w:r>
      <w:r w:rsidR="00881834" w:rsidRPr="00FD52D8">
        <w:rPr>
          <w:rFonts w:cstheme="minorHAnsi"/>
          <w:vertAlign w:val="subscript"/>
        </w:rPr>
        <w:t>2</w:t>
      </w:r>
      <w:r w:rsidR="00881834" w:rsidRPr="00FD52D8">
        <w:t xml:space="preserve"> destruction. The results of Rhee et al.</w:t>
      </w:r>
      <w:r w:rsidR="00B5581D">
        <w:t>,</w:t>
      </w:r>
      <w:r w:rsidR="00881834" w:rsidRPr="00FD52D8">
        <w:t xml:space="preserve"> 2006 are based on a small number of upper troposphere samples</w:t>
      </w:r>
      <w:r w:rsidR="003B35D6" w:rsidRPr="00FD52D8">
        <w:t>.</w:t>
      </w:r>
      <w:r w:rsidR="008377CC">
        <w:t xml:space="preserve"> </w:t>
      </w:r>
      <w:r w:rsidR="00881834" w:rsidRPr="00FD52D8">
        <w:t>Batenburg et al.</w:t>
      </w:r>
      <w:r w:rsidR="00B5581D">
        <w:t>,</w:t>
      </w:r>
      <w:r w:rsidR="000E6D3F">
        <w:t xml:space="preserve"> </w:t>
      </w:r>
      <w:r w:rsidR="00B5581D">
        <w:t>2011</w:t>
      </w:r>
      <w:r w:rsidR="008377CC">
        <w:t xml:space="preserve"> </w:t>
      </w:r>
      <w:r w:rsidR="003B35D6" w:rsidRPr="00FD52D8">
        <w:t xml:space="preserve">used six EuroHydros stations, of which four in NH: Alert, Cape Verde, Mace Head and Schauinsland. </w:t>
      </w:r>
    </w:p>
    <w:p w:rsidR="00881834" w:rsidRPr="00F20757" w:rsidRDefault="00881834" w:rsidP="006904A0"/>
    <w:p w:rsidR="00861515" w:rsidRDefault="00861515" w:rsidP="00F20757">
      <w:pPr>
        <w:pStyle w:val="ListParagraph"/>
        <w:numPr>
          <w:ilvl w:val="1"/>
          <w:numId w:val="1"/>
        </w:numPr>
        <w:ind w:left="1080"/>
      </w:pPr>
      <w:r w:rsidRPr="00F20757">
        <w:t>Links with current research of the applicant</w:t>
      </w:r>
    </w:p>
    <w:p w:rsidR="0044623C" w:rsidRPr="00F20757" w:rsidRDefault="0044623C" w:rsidP="0044623C">
      <w:r>
        <w:t xml:space="preserve">Elena Popa is currently responsible for the </w:t>
      </w:r>
      <w:r w:rsidRPr="00E5439A">
        <w:rPr>
          <w:rFonts w:cstheme="minorHAnsi"/>
        </w:rPr>
        <w:t>H</w:t>
      </w:r>
      <w:r w:rsidRPr="00E5439A">
        <w:rPr>
          <w:rFonts w:cstheme="minorHAnsi"/>
          <w:vertAlign w:val="subscript"/>
        </w:rPr>
        <w:t>2</w:t>
      </w:r>
      <w:r>
        <w:t xml:space="preserve"> isotope measurements at IMAU, and involved in </w:t>
      </w:r>
      <w:r w:rsidR="003759F9">
        <w:t>research on various</w:t>
      </w:r>
      <w:r>
        <w:t xml:space="preserve"> aspects of the </w:t>
      </w:r>
      <w:r w:rsidRPr="00E5439A">
        <w:rPr>
          <w:rFonts w:cstheme="minorHAnsi"/>
        </w:rPr>
        <w:t>H</w:t>
      </w:r>
      <w:r w:rsidRPr="00E5439A">
        <w:rPr>
          <w:rFonts w:cstheme="minorHAnsi"/>
          <w:vertAlign w:val="subscript"/>
        </w:rPr>
        <w:t>2</w:t>
      </w:r>
      <w:r>
        <w:t xml:space="preserve"> cycle</w:t>
      </w:r>
      <w:r w:rsidR="003759F9">
        <w:t>, e.g.</w:t>
      </w:r>
      <w:r>
        <w:t xml:space="preserve"> emission rates and isotopic composition of </w:t>
      </w:r>
      <w:r w:rsidRPr="00E5439A">
        <w:rPr>
          <w:rFonts w:cstheme="minorHAnsi"/>
        </w:rPr>
        <w:t>H</w:t>
      </w:r>
      <w:r w:rsidRPr="00E5439A">
        <w:rPr>
          <w:rFonts w:cstheme="minorHAnsi"/>
          <w:vertAlign w:val="subscript"/>
        </w:rPr>
        <w:t>2</w:t>
      </w:r>
      <w:r>
        <w:t xml:space="preserve"> from vehicles</w:t>
      </w:r>
      <w:r w:rsidR="003759F9">
        <w:t xml:space="preserve">, </w:t>
      </w:r>
      <w:r>
        <w:t>isotopic signatures associated with uptake and emissions by soil</w:t>
      </w:r>
      <w:r w:rsidR="003759F9">
        <w:t xml:space="preserve">, </w:t>
      </w:r>
      <w:r w:rsidR="00984F0E">
        <w:t xml:space="preserve">and regional </w:t>
      </w:r>
      <w:r w:rsidR="003759F9">
        <w:t xml:space="preserve">modeling of </w:t>
      </w:r>
      <w:r w:rsidR="004C3BC1" w:rsidRPr="00E5439A">
        <w:rPr>
          <w:rFonts w:cstheme="minorHAnsi"/>
        </w:rPr>
        <w:t>H</w:t>
      </w:r>
      <w:r w:rsidR="004C3BC1" w:rsidRPr="00E5439A">
        <w:rPr>
          <w:rFonts w:cstheme="minorHAnsi"/>
          <w:vertAlign w:val="subscript"/>
        </w:rPr>
        <w:t>2</w:t>
      </w:r>
      <w:r w:rsidR="003759F9">
        <w:t xml:space="preserve"> with Lotos-Euros. The research group of Thomas R</w:t>
      </w:r>
      <w:r w:rsidR="00570D32">
        <w:t>ö</w:t>
      </w:r>
      <w:r w:rsidR="003759F9">
        <w:t xml:space="preserve">ckmann is currently one of the strongest in the global research on </w:t>
      </w:r>
      <w:r w:rsidR="003759F9" w:rsidRPr="00E5439A">
        <w:rPr>
          <w:rFonts w:cstheme="minorHAnsi"/>
        </w:rPr>
        <w:t>H</w:t>
      </w:r>
      <w:r w:rsidR="003759F9" w:rsidRPr="00E5439A">
        <w:rPr>
          <w:rFonts w:cstheme="minorHAnsi"/>
          <w:vertAlign w:val="subscript"/>
        </w:rPr>
        <w:t>2</w:t>
      </w:r>
      <w:r w:rsidR="003759F9">
        <w:t xml:space="preserve">, and one of the </w:t>
      </w:r>
      <w:r w:rsidR="00304330">
        <w:t xml:space="preserve">very </w:t>
      </w:r>
      <w:r w:rsidR="003759F9">
        <w:t xml:space="preserve">few that can perform isotope measurements in atmospheric </w:t>
      </w:r>
      <w:r w:rsidR="003759F9" w:rsidRPr="00E5439A">
        <w:rPr>
          <w:rFonts w:cstheme="minorHAnsi"/>
        </w:rPr>
        <w:t>H</w:t>
      </w:r>
      <w:r w:rsidR="003759F9" w:rsidRPr="00E5439A">
        <w:rPr>
          <w:rFonts w:cstheme="minorHAnsi"/>
          <w:vertAlign w:val="subscript"/>
        </w:rPr>
        <w:t>2</w:t>
      </w:r>
      <w:r w:rsidR="003759F9">
        <w:t xml:space="preserve">. </w:t>
      </w:r>
      <w:r w:rsidR="004C3BC1">
        <w:t xml:space="preserve">The results of the current study will complement the previous </w:t>
      </w:r>
      <w:r w:rsidR="005457BF">
        <w:t xml:space="preserve">estimation of </w:t>
      </w:r>
      <w:r w:rsidR="005457BF" w:rsidRPr="00E5439A">
        <w:rPr>
          <w:rFonts w:cstheme="minorHAnsi"/>
        </w:rPr>
        <w:t>H</w:t>
      </w:r>
      <w:r w:rsidR="005457BF" w:rsidRPr="00E5439A">
        <w:rPr>
          <w:rFonts w:cstheme="minorHAnsi"/>
          <w:vertAlign w:val="subscript"/>
        </w:rPr>
        <w:t>2</w:t>
      </w:r>
      <w:r w:rsidR="005457BF">
        <w:t xml:space="preserve"> oxidation by OH of Batenburg et al., </w:t>
      </w:r>
      <w:r w:rsidR="00B5581D">
        <w:t>2011</w:t>
      </w:r>
      <w:r w:rsidR="007575F3">
        <w:t xml:space="preserve">, and will help to constrain the regional </w:t>
      </w:r>
      <w:r w:rsidR="007575F3" w:rsidRPr="00E5439A">
        <w:rPr>
          <w:rFonts w:cstheme="minorHAnsi"/>
        </w:rPr>
        <w:t>H</w:t>
      </w:r>
      <w:r w:rsidR="007575F3" w:rsidRPr="00E5439A">
        <w:rPr>
          <w:rFonts w:cstheme="minorHAnsi"/>
          <w:vertAlign w:val="subscript"/>
        </w:rPr>
        <w:t>2</w:t>
      </w:r>
      <w:r w:rsidR="007575F3">
        <w:t xml:space="preserve"> budget.</w:t>
      </w:r>
    </w:p>
    <w:p w:rsidR="00861515" w:rsidRPr="00861515" w:rsidRDefault="00861515" w:rsidP="00F20757">
      <w:pPr>
        <w:pStyle w:val="ListParagraph"/>
        <w:ind w:left="360"/>
        <w:rPr>
          <w:b/>
        </w:rPr>
      </w:pPr>
    </w:p>
    <w:p w:rsidR="00861515" w:rsidRDefault="00861515" w:rsidP="00F20757">
      <w:pPr>
        <w:pStyle w:val="ListParagraph"/>
        <w:numPr>
          <w:ilvl w:val="0"/>
          <w:numId w:val="1"/>
        </w:numPr>
        <w:ind w:left="360"/>
        <w:rPr>
          <w:b/>
        </w:rPr>
      </w:pPr>
      <w:r>
        <w:rPr>
          <w:b/>
        </w:rPr>
        <w:t>Objectives</w:t>
      </w:r>
    </w:p>
    <w:p w:rsidR="00861515" w:rsidRDefault="00861515" w:rsidP="00F20757">
      <w:pPr>
        <w:pStyle w:val="ListParagraph"/>
        <w:numPr>
          <w:ilvl w:val="1"/>
          <w:numId w:val="1"/>
        </w:numPr>
        <w:ind w:left="1080"/>
      </w:pPr>
      <w:r w:rsidRPr="00F20757">
        <w:t>Hypothesis and research objectives</w:t>
      </w:r>
    </w:p>
    <w:p w:rsidR="003E1C57" w:rsidRPr="005E3723" w:rsidRDefault="003E1C57" w:rsidP="003E1C57"/>
    <w:p w:rsidR="007036ED" w:rsidRPr="00D12D07" w:rsidRDefault="00AC6E38" w:rsidP="007036ED">
      <w:r w:rsidRPr="005E3723">
        <w:t xml:space="preserve">The two main sinks affect the isotopic composition of the remaining </w:t>
      </w:r>
      <w:r w:rsidRPr="005E3723">
        <w:rPr>
          <w:rFonts w:cstheme="minorHAnsi"/>
        </w:rPr>
        <w:t>H</w:t>
      </w:r>
      <w:r w:rsidRPr="005E3723">
        <w:rPr>
          <w:rFonts w:cstheme="minorHAnsi"/>
          <w:vertAlign w:val="subscript"/>
        </w:rPr>
        <w:t>2</w:t>
      </w:r>
      <w:r w:rsidRPr="005E3723">
        <w:t xml:space="preserve"> in very different ways: the oxidation by OH leads to the remaining </w:t>
      </w:r>
      <w:r w:rsidRPr="005E3723">
        <w:rPr>
          <w:rFonts w:cstheme="minorHAnsi"/>
        </w:rPr>
        <w:t>H</w:t>
      </w:r>
      <w:r w:rsidRPr="005E3723">
        <w:rPr>
          <w:rFonts w:cstheme="minorHAnsi"/>
          <w:vertAlign w:val="subscript"/>
        </w:rPr>
        <w:t>2</w:t>
      </w:r>
      <w:r w:rsidRPr="005E3723">
        <w:t xml:space="preserve"> being strongly enriched in deuterium, while the soil uptake leaves the composition of the remaining </w:t>
      </w:r>
      <w:r w:rsidRPr="005E3723">
        <w:rPr>
          <w:rFonts w:cstheme="minorHAnsi"/>
        </w:rPr>
        <w:t>H</w:t>
      </w:r>
      <w:r w:rsidRPr="005E3723">
        <w:rPr>
          <w:rFonts w:cstheme="minorHAnsi"/>
          <w:vertAlign w:val="subscript"/>
        </w:rPr>
        <w:t>2</w:t>
      </w:r>
      <w:r w:rsidRPr="005E3723">
        <w:t xml:space="preserve"> almost unchanged. The apparent</w:t>
      </w:r>
      <w:r w:rsidR="005E3723" w:rsidRPr="005E3723">
        <w:t xml:space="preserve"> (net)</w:t>
      </w:r>
      <w:r w:rsidRPr="005E3723">
        <w:t xml:space="preserve"> fractionation during </w:t>
      </w:r>
      <w:r w:rsidRPr="005E3723">
        <w:rPr>
          <w:rFonts w:cstheme="minorHAnsi"/>
        </w:rPr>
        <w:t>H</w:t>
      </w:r>
      <w:r w:rsidRPr="005E3723">
        <w:rPr>
          <w:rFonts w:cstheme="minorHAnsi"/>
          <w:vertAlign w:val="subscript"/>
        </w:rPr>
        <w:t>2</w:t>
      </w:r>
      <w:r w:rsidRPr="005E3723">
        <w:t xml:space="preserve"> destruction can be computed using a so-cal</w:t>
      </w:r>
      <w:r w:rsidR="00165721" w:rsidRPr="005E3723">
        <w:t>l</w:t>
      </w:r>
      <w:r w:rsidRPr="005E3723">
        <w:t xml:space="preserve">ed “Rayleigh fractionation plot”. </w:t>
      </w:r>
      <w:r w:rsidR="00165721" w:rsidRPr="005E3723">
        <w:t xml:space="preserve">If the dataset is longer than one year, the </w:t>
      </w:r>
      <w:r w:rsidR="005E3723" w:rsidRPr="005E3723">
        <w:rPr>
          <w:rFonts w:cstheme="minorHAnsi"/>
        </w:rPr>
        <w:t xml:space="preserve">influence of concurrent sources on the fractionation result is relatively small. By comparing our </w:t>
      </w:r>
      <w:r w:rsidR="005E3723">
        <w:rPr>
          <w:rFonts w:cstheme="minorHAnsi"/>
        </w:rPr>
        <w:t>resulted</w:t>
      </w:r>
      <w:r w:rsidR="005E3723" w:rsidRPr="005E3723">
        <w:rPr>
          <w:rFonts w:cstheme="minorHAnsi"/>
        </w:rPr>
        <w:t xml:space="preserve"> fractionation line with the known values for fractionation during soil uptake (0.94) and </w:t>
      </w:r>
      <w:r w:rsidR="005E3723" w:rsidRPr="005E3723">
        <w:rPr>
          <w:rFonts w:cstheme="minorHAnsi"/>
        </w:rPr>
        <w:lastRenderedPageBreak/>
        <w:t>during Oh oxidation (0.58)</w:t>
      </w:r>
      <w:r w:rsidR="005E3723">
        <w:rPr>
          <w:rFonts w:cstheme="minorHAnsi"/>
        </w:rPr>
        <w:t>,</w:t>
      </w:r>
      <w:r w:rsidR="005E3723" w:rsidRPr="005E3723">
        <w:rPr>
          <w:rFonts w:cstheme="minorHAnsi"/>
        </w:rPr>
        <w:t xml:space="preserve"> we will be able to estimate the relative contribution of the two sinks. </w:t>
      </w:r>
    </w:p>
    <w:p w:rsidR="00861515" w:rsidRPr="00F20757" w:rsidRDefault="00861515" w:rsidP="00F20757">
      <w:pPr>
        <w:pStyle w:val="ListParagraph"/>
        <w:numPr>
          <w:ilvl w:val="1"/>
          <w:numId w:val="1"/>
        </w:numPr>
        <w:ind w:left="1080"/>
      </w:pPr>
      <w:r w:rsidRPr="00F20757">
        <w:t>Connection with the InGOS objectives and the ‘fitness’ of the use of the requested infrastructure to the objectives</w:t>
      </w:r>
    </w:p>
    <w:p w:rsidR="007036ED" w:rsidRDefault="007036ED" w:rsidP="007036ED">
      <w:pPr>
        <w:rPr>
          <w:b/>
        </w:rPr>
      </w:pPr>
    </w:p>
    <w:p w:rsidR="00140995" w:rsidRDefault="007036ED" w:rsidP="00140995">
      <w:r w:rsidRPr="007036ED">
        <w:t>Thi</w:t>
      </w:r>
      <w:r>
        <w:t>s work will help quantify the contribution of oxidation</w:t>
      </w:r>
      <w:r w:rsidR="00140995">
        <w:t xml:space="preserve"> by OH</w:t>
      </w:r>
      <w:r>
        <w:t xml:space="preserve"> to the total </w:t>
      </w:r>
      <w:r w:rsidRPr="00E5439A">
        <w:rPr>
          <w:rFonts w:cstheme="minorHAnsi"/>
        </w:rPr>
        <w:t>H</w:t>
      </w:r>
      <w:r w:rsidRPr="00E5439A">
        <w:rPr>
          <w:rFonts w:cstheme="minorHAnsi"/>
          <w:vertAlign w:val="subscript"/>
        </w:rPr>
        <w:t>2</w:t>
      </w:r>
      <w:r>
        <w:t xml:space="preserve"> sink, and thus the regional </w:t>
      </w:r>
      <w:r w:rsidRPr="00E5439A">
        <w:rPr>
          <w:rFonts w:cstheme="minorHAnsi"/>
        </w:rPr>
        <w:t>H</w:t>
      </w:r>
      <w:r w:rsidRPr="00E5439A">
        <w:rPr>
          <w:rFonts w:cstheme="minorHAnsi"/>
          <w:vertAlign w:val="subscript"/>
        </w:rPr>
        <w:t>2</w:t>
      </w:r>
      <w:r>
        <w:t xml:space="preserve"> budget. </w:t>
      </w:r>
      <w:r w:rsidR="00140995">
        <w:t xml:space="preserve">A better understanding of its contribution would also help to constrain the possible effects of </w:t>
      </w:r>
      <w:r w:rsidR="00140995" w:rsidRPr="00E5439A">
        <w:rPr>
          <w:rFonts w:cstheme="minorHAnsi"/>
        </w:rPr>
        <w:t>H</w:t>
      </w:r>
      <w:r w:rsidR="00140995" w:rsidRPr="00E5439A">
        <w:rPr>
          <w:rFonts w:cstheme="minorHAnsi"/>
          <w:vertAlign w:val="subscript"/>
        </w:rPr>
        <w:t>2</w:t>
      </w:r>
      <w:r w:rsidR="00140995">
        <w:t xml:space="preserve"> variations on the lifetime of methane, tropospheric ozone and carbon monoxide, and thus the possible effects on climate. </w:t>
      </w:r>
    </w:p>
    <w:p w:rsidR="00830EDC" w:rsidRDefault="00830EDC" w:rsidP="00140995"/>
    <w:p w:rsidR="00830EDC" w:rsidRDefault="00140995" w:rsidP="00140995">
      <w:r>
        <w:t>Kasprowy Wierch is a mountain top station, with relatively clean air</w:t>
      </w:r>
      <w:r w:rsidR="00830EDC">
        <w:t xml:space="preserve">, and carefully selecting the sampling times can help us obtain air with little or no contamination from local sources. The </w:t>
      </w:r>
      <w:r w:rsidR="00656530">
        <w:t>behavior</w:t>
      </w:r>
      <w:r w:rsidR="00830EDC">
        <w:t xml:space="preserve"> of atmospheric </w:t>
      </w:r>
      <w:r w:rsidR="00830EDC" w:rsidRPr="00E5439A">
        <w:rPr>
          <w:rFonts w:cstheme="minorHAnsi"/>
        </w:rPr>
        <w:t>H</w:t>
      </w:r>
      <w:r w:rsidR="00830EDC" w:rsidRPr="00E5439A">
        <w:rPr>
          <w:rFonts w:cstheme="minorHAnsi"/>
          <w:vertAlign w:val="subscript"/>
        </w:rPr>
        <w:t>2</w:t>
      </w:r>
      <w:r w:rsidR="00830EDC">
        <w:t xml:space="preserve"> at this location is quite well known, </w:t>
      </w:r>
      <w:r w:rsidR="007531A8">
        <w:t>as</w:t>
      </w:r>
      <w:r w:rsidR="00830EDC" w:rsidRPr="00E5439A">
        <w:rPr>
          <w:rFonts w:cstheme="minorHAnsi"/>
        </w:rPr>
        <w:t>H</w:t>
      </w:r>
      <w:r w:rsidR="00830EDC" w:rsidRPr="00E5439A">
        <w:rPr>
          <w:rFonts w:cstheme="minorHAnsi"/>
          <w:vertAlign w:val="subscript"/>
        </w:rPr>
        <w:t>2</w:t>
      </w:r>
      <w:r w:rsidR="00830EDC">
        <w:t xml:space="preserve"> measurements are already performed here since many years. </w:t>
      </w:r>
    </w:p>
    <w:p w:rsidR="00140995" w:rsidRDefault="007531A8" w:rsidP="00140995">
      <w:r>
        <w:t>Trained personnel from AGH Krakow make</w:t>
      </w:r>
      <w:r w:rsidR="00830EDC">
        <w:t xml:space="preserve"> regular visits to the station. </w:t>
      </w:r>
      <w:r>
        <w:t>T</w:t>
      </w:r>
      <w:r w:rsidR="00140995">
        <w:t xml:space="preserve">he necessary inlets </w:t>
      </w:r>
      <w:r w:rsidR="00570D32">
        <w:t xml:space="preserve">already </w:t>
      </w:r>
      <w:r w:rsidR="00140995">
        <w:t>exist</w:t>
      </w:r>
      <w:r w:rsidR="00570D32">
        <w:t>,</w:t>
      </w:r>
      <w:r w:rsidR="00140995">
        <w:t xml:space="preserve"> and the sampling equipment can be installed relatively easy. </w:t>
      </w:r>
    </w:p>
    <w:p w:rsidR="007036ED" w:rsidRPr="00D12D07" w:rsidRDefault="007036ED" w:rsidP="007036ED"/>
    <w:p w:rsidR="00861515" w:rsidRDefault="00861515" w:rsidP="00F20757">
      <w:pPr>
        <w:pStyle w:val="ListParagraph"/>
        <w:numPr>
          <w:ilvl w:val="0"/>
          <w:numId w:val="1"/>
        </w:numPr>
        <w:ind w:left="360"/>
        <w:rPr>
          <w:b/>
        </w:rPr>
      </w:pPr>
      <w:r>
        <w:rPr>
          <w:b/>
        </w:rPr>
        <w:t>Methods and materials (</w:t>
      </w:r>
      <w:r w:rsidR="00F20757">
        <w:rPr>
          <w:b/>
        </w:rPr>
        <w:t xml:space="preserve">legal and </w:t>
      </w:r>
      <w:r>
        <w:rPr>
          <w:b/>
        </w:rPr>
        <w:t>ethical issues)</w:t>
      </w:r>
    </w:p>
    <w:p w:rsidR="00861515" w:rsidRDefault="00861515" w:rsidP="00F20757">
      <w:pPr>
        <w:pStyle w:val="ListParagraph"/>
        <w:numPr>
          <w:ilvl w:val="1"/>
          <w:numId w:val="1"/>
        </w:numPr>
        <w:ind w:left="1080"/>
      </w:pPr>
      <w:r w:rsidRPr="00F20757">
        <w:t>Research method</w:t>
      </w:r>
      <w:r w:rsidR="00F20757" w:rsidRPr="00F20757">
        <w:t>, explaining how to reach the objective</w:t>
      </w:r>
    </w:p>
    <w:p w:rsidR="00204BAF" w:rsidRDefault="00204BAF" w:rsidP="00570D32">
      <w:pPr>
        <w:rPr>
          <w:b/>
        </w:rPr>
      </w:pPr>
    </w:p>
    <w:p w:rsidR="00076EA9" w:rsidRDefault="00405F25" w:rsidP="00570D32">
      <w:pPr>
        <w:rPr>
          <w:b/>
        </w:rPr>
      </w:pPr>
      <w:r w:rsidRPr="00204BAF">
        <w:rPr>
          <w:b/>
        </w:rPr>
        <w:t>Sampling</w:t>
      </w:r>
    </w:p>
    <w:p w:rsidR="00204BAF" w:rsidRPr="00E92E66" w:rsidRDefault="00570D32" w:rsidP="00570D32">
      <w:pPr>
        <w:rPr>
          <w:b/>
        </w:rPr>
      </w:pPr>
      <w:r>
        <w:t xml:space="preserve">Atmospheric samples will be taken </w:t>
      </w:r>
      <w:r w:rsidR="00204BAF">
        <w:t>about twice per month</w:t>
      </w:r>
      <w:r>
        <w:t xml:space="preserve">, and shipped to IMAU for </w:t>
      </w:r>
      <w:r w:rsidR="00405F25" w:rsidRPr="00E5439A">
        <w:rPr>
          <w:rFonts w:cstheme="minorHAnsi"/>
        </w:rPr>
        <w:t>H</w:t>
      </w:r>
      <w:r w:rsidR="00405F25" w:rsidRPr="00E5439A">
        <w:rPr>
          <w:rFonts w:cstheme="minorHAnsi"/>
          <w:vertAlign w:val="subscript"/>
        </w:rPr>
        <w:t>2</w:t>
      </w:r>
      <w:r w:rsidR="00405F25">
        <w:t xml:space="preserve"> isotope measurements</w:t>
      </w:r>
      <w:r>
        <w:t xml:space="preserve">. The sampling will be done in </w:t>
      </w:r>
      <w:r w:rsidR="00405F25">
        <w:t xml:space="preserve">clean air </w:t>
      </w:r>
      <w:r>
        <w:t xml:space="preserve">conditions; </w:t>
      </w:r>
      <w:r w:rsidR="00204BAF">
        <w:t xml:space="preserve">meteorological information and in-situ measurements of </w:t>
      </w:r>
      <w:r w:rsidR="00204BAF" w:rsidRPr="00E5439A">
        <w:rPr>
          <w:rFonts w:cstheme="minorHAnsi"/>
        </w:rPr>
        <w:t>H</w:t>
      </w:r>
      <w:r w:rsidR="00204BAF" w:rsidRPr="00E5439A">
        <w:rPr>
          <w:rFonts w:cstheme="minorHAnsi"/>
          <w:vertAlign w:val="subscript"/>
        </w:rPr>
        <w:t>2</w:t>
      </w:r>
      <w:r w:rsidR="00204BAF">
        <w:t xml:space="preserve"> and other trace gases will be used to decide the sampling times. The samples will be taken in </w:t>
      </w:r>
      <w:r w:rsidR="00656530">
        <w:t>pairs</w:t>
      </w:r>
      <w:r w:rsidR="00204BAF">
        <w:t>, in standard 1-L glass flasks</w:t>
      </w:r>
      <w:r w:rsidR="00E2448F">
        <w:t xml:space="preserve">. </w:t>
      </w:r>
      <w:r w:rsidR="006218FD">
        <w:t xml:space="preserve">The planned </w:t>
      </w:r>
      <w:r w:rsidR="00EA0D8E">
        <w:t>sampling</w:t>
      </w:r>
      <w:r w:rsidR="006218FD">
        <w:t xml:space="preserve"> extent is May-2014 to Ju</w:t>
      </w:r>
      <w:r w:rsidR="00567307">
        <w:t>ly</w:t>
      </w:r>
      <w:r w:rsidR="006218FD">
        <w:t>-2015</w:t>
      </w:r>
      <w:r w:rsidR="00984F0E">
        <w:t>.</w:t>
      </w:r>
    </w:p>
    <w:p w:rsidR="00405F25" w:rsidRDefault="00405F25" w:rsidP="00570D32"/>
    <w:p w:rsidR="00076EA9" w:rsidRDefault="00405F25" w:rsidP="00570D32">
      <w:pPr>
        <w:rPr>
          <w:b/>
        </w:rPr>
      </w:pPr>
      <w:r w:rsidRPr="00F449F1">
        <w:rPr>
          <w:b/>
        </w:rPr>
        <w:t>Measurements</w:t>
      </w:r>
    </w:p>
    <w:p w:rsidR="00F449F1" w:rsidRPr="00E92E66" w:rsidRDefault="00F449F1" w:rsidP="00570D32">
      <w:pPr>
        <w:rPr>
          <w:b/>
        </w:rPr>
      </w:pPr>
      <w:r>
        <w:t xml:space="preserve">The measurements of </w:t>
      </w:r>
      <w:r w:rsidRPr="00E5439A">
        <w:rPr>
          <w:rFonts w:cstheme="minorHAnsi"/>
        </w:rPr>
        <w:t>H</w:t>
      </w:r>
      <w:r w:rsidRPr="00E5439A">
        <w:rPr>
          <w:rFonts w:cstheme="minorHAnsi"/>
          <w:vertAlign w:val="subscript"/>
        </w:rPr>
        <w:t>2</w:t>
      </w:r>
      <w:r>
        <w:t xml:space="preserve"> isotopes will be done at IMAU following the standard procedure </w:t>
      </w:r>
      <w:r w:rsidRPr="00D12D07">
        <w:t>(</w:t>
      </w:r>
      <w:r w:rsidR="0000005B" w:rsidRPr="00D12D07">
        <w:t>Batenbug et al., 2011</w:t>
      </w:r>
      <w:r w:rsidRPr="00D12D07">
        <w:t>).</w:t>
      </w:r>
      <w:r>
        <w:t xml:space="preserve"> Depending on the quantity of gas available in flasks, and on the availability of other instruments, CO and/or </w:t>
      </w:r>
      <w:r w:rsidRPr="005E0FCB">
        <w:t>CH</w:t>
      </w:r>
      <w:r w:rsidRPr="005E0FCB">
        <w:rPr>
          <w:vertAlign w:val="subscript"/>
        </w:rPr>
        <w:t>4</w:t>
      </w:r>
      <w:r>
        <w:t xml:space="preserve"> mole fractions and isotopes will be analyzed in selected samples. </w:t>
      </w:r>
    </w:p>
    <w:p w:rsidR="00405F25" w:rsidRDefault="00405F25" w:rsidP="00570D32"/>
    <w:p w:rsidR="00076EA9" w:rsidRDefault="00405F25" w:rsidP="00570D32">
      <w:pPr>
        <w:rPr>
          <w:b/>
        </w:rPr>
      </w:pPr>
      <w:r w:rsidRPr="006218FD">
        <w:rPr>
          <w:b/>
        </w:rPr>
        <w:t>Data interpretation</w:t>
      </w:r>
    </w:p>
    <w:p w:rsidR="00405F25" w:rsidRPr="00D12D07" w:rsidRDefault="006218FD" w:rsidP="00570D32">
      <w:pPr>
        <w:rPr>
          <w:b/>
        </w:rPr>
      </w:pPr>
      <w:r>
        <w:t xml:space="preserve">Data interpretation will be done by IMAU and AGH in collaboration. </w:t>
      </w:r>
      <w:r w:rsidR="00BE7E75">
        <w:t>T</w:t>
      </w:r>
      <w:r w:rsidR="00567307">
        <w:t>h</w:t>
      </w:r>
      <w:r w:rsidR="00BE7E75">
        <w:t>e</w:t>
      </w:r>
      <w:r w:rsidR="00567307">
        <w:t xml:space="preserve"> contribution of OH </w:t>
      </w:r>
      <w:r w:rsidR="00567307" w:rsidRPr="00D12D07">
        <w:t xml:space="preserve">oxidation to the </w:t>
      </w:r>
      <w:r w:rsidR="00567307" w:rsidRPr="00D12D07">
        <w:rPr>
          <w:rFonts w:cstheme="minorHAnsi"/>
        </w:rPr>
        <w:t>H</w:t>
      </w:r>
      <w:r w:rsidR="00567307" w:rsidRPr="00D12D07">
        <w:rPr>
          <w:rFonts w:cstheme="minorHAnsi"/>
          <w:vertAlign w:val="subscript"/>
        </w:rPr>
        <w:t>2</w:t>
      </w:r>
      <w:r w:rsidR="00567307" w:rsidRPr="00D12D07">
        <w:t xml:space="preserve"> budget will be </w:t>
      </w:r>
      <w:r w:rsidR="00BE7E75" w:rsidRPr="00D12D07">
        <w:t>estimate</w:t>
      </w:r>
      <w:r w:rsidR="00567307" w:rsidRPr="00D12D07">
        <w:t>d</w:t>
      </w:r>
      <w:r w:rsidR="00EF01F2">
        <w:t xml:space="preserve"> </w:t>
      </w:r>
      <w:r w:rsidR="00567307" w:rsidRPr="00D12D07">
        <w:t xml:space="preserve">following the approach of Batenburg et al., </w:t>
      </w:r>
      <w:r w:rsidR="00D12D07" w:rsidRPr="00D12D07">
        <w:t>2011</w:t>
      </w:r>
      <w:r w:rsidR="00567307" w:rsidRPr="00D12D07">
        <w:t xml:space="preserve">. </w:t>
      </w:r>
    </w:p>
    <w:p w:rsidR="00405F25" w:rsidRDefault="00405F25" w:rsidP="00570D32"/>
    <w:p w:rsidR="00F20757" w:rsidRDefault="00F20757" w:rsidP="00F20757">
      <w:pPr>
        <w:pStyle w:val="ListParagraph"/>
        <w:numPr>
          <w:ilvl w:val="1"/>
          <w:numId w:val="1"/>
        </w:numPr>
        <w:ind w:left="1080"/>
      </w:pPr>
      <w:r w:rsidRPr="00F20757">
        <w:t>Research materials</w:t>
      </w:r>
      <w:r>
        <w:t>, instrumentation</w:t>
      </w:r>
    </w:p>
    <w:p w:rsidR="006817B4" w:rsidRDefault="00567307" w:rsidP="00567307">
      <w:r>
        <w:t xml:space="preserve">A flask sampler will be prepared and tested in collaboration with AGH, </w:t>
      </w:r>
      <w:r w:rsidR="00B32EE6">
        <w:t>and will be connected to the existing inlet lines</w:t>
      </w:r>
      <w:r>
        <w:t xml:space="preserve">. Power, tools and basic consumables are available at </w:t>
      </w:r>
      <w:r w:rsidR="00984F0E">
        <w:t>the station. O</w:t>
      </w:r>
      <w:r>
        <w:t xml:space="preserve">nline measurements </w:t>
      </w:r>
      <w:r w:rsidRPr="00D12D07">
        <w:t xml:space="preserve">of </w:t>
      </w:r>
      <w:r w:rsidR="00D12D07">
        <w:t xml:space="preserve">other </w:t>
      </w:r>
      <w:r w:rsidR="00D12D07" w:rsidRPr="00D12D07">
        <w:t xml:space="preserve">gas species </w:t>
      </w:r>
      <w:r w:rsidR="00D12D07">
        <w:t>(</w:t>
      </w:r>
      <w:r w:rsidR="00656530" w:rsidRPr="008424B2">
        <w:t>CO2, CH4, N2O, SF</w:t>
      </w:r>
      <w:r w:rsidR="00EA0D8E" w:rsidRPr="008424B2">
        <w:t>6, CO</w:t>
      </w:r>
      <w:r w:rsidR="00D12D07" w:rsidRPr="008424B2">
        <w:t>)</w:t>
      </w:r>
      <w:r w:rsidR="00EA0D8E" w:rsidRPr="008424B2">
        <w:t xml:space="preserve"> </w:t>
      </w:r>
      <w:r w:rsidRPr="008424B2">
        <w:t>are</w:t>
      </w:r>
      <w:r w:rsidRPr="00D12D07">
        <w:t xml:space="preserve"> needed for assessing the cleanness of the air</w:t>
      </w:r>
      <w:r>
        <w:t xml:space="preserve"> masses, and will be made available by AGH. </w:t>
      </w:r>
      <w:r w:rsidR="00B32EE6">
        <w:t xml:space="preserve">Meteo data </w:t>
      </w:r>
      <w:r w:rsidR="00B32EE6">
        <w:lastRenderedPageBreak/>
        <w:t xml:space="preserve">are as well available at the station. </w:t>
      </w:r>
      <w:r w:rsidR="00873AB4">
        <w:t>F</w:t>
      </w:r>
      <w:r w:rsidR="00B32EE6">
        <w:t xml:space="preserve">lask samples will be </w:t>
      </w:r>
      <w:r w:rsidR="00EA0D8E">
        <w:t xml:space="preserve">partially </w:t>
      </w:r>
      <w:r w:rsidR="00B32EE6">
        <w:t xml:space="preserve">provided by IMAU. </w:t>
      </w:r>
      <w:r w:rsidR="006817B4">
        <w:t xml:space="preserve">Transport to and from the station, and flask shipment to IMAU, will be organized by AGH. </w:t>
      </w:r>
    </w:p>
    <w:p w:rsidR="00304330" w:rsidRPr="00F20757" w:rsidRDefault="00304330" w:rsidP="00140995"/>
    <w:p w:rsidR="00F20757" w:rsidRPr="00F20757" w:rsidRDefault="00F20757" w:rsidP="00F20757">
      <w:pPr>
        <w:pStyle w:val="ListParagraph"/>
        <w:numPr>
          <w:ilvl w:val="1"/>
          <w:numId w:val="1"/>
        </w:numPr>
        <w:ind w:left="1080"/>
      </w:pPr>
      <w:r w:rsidRPr="00F20757">
        <w:t>Governance procedures, safety precautions, permit requirements and procedures</w:t>
      </w:r>
    </w:p>
    <w:p w:rsidR="00861515" w:rsidRPr="00304330" w:rsidRDefault="006352F1" w:rsidP="00304330">
      <w:r>
        <w:t>None</w:t>
      </w:r>
    </w:p>
    <w:p w:rsidR="00304330" w:rsidRPr="00304330" w:rsidRDefault="00304330" w:rsidP="00304330">
      <w:pPr>
        <w:rPr>
          <w:b/>
        </w:rPr>
      </w:pPr>
    </w:p>
    <w:p w:rsidR="00861515" w:rsidRDefault="00EF01F2" w:rsidP="00F20757">
      <w:pPr>
        <w:pStyle w:val="ListParagraph"/>
        <w:numPr>
          <w:ilvl w:val="0"/>
          <w:numId w:val="1"/>
        </w:numPr>
        <w:ind w:left="360"/>
        <w:rPr>
          <w:b/>
        </w:rPr>
      </w:pPr>
      <w:r>
        <w:rPr>
          <w:b/>
        </w:rPr>
        <w:t>Implementation</w:t>
      </w:r>
      <w:r w:rsidR="00861515">
        <w:rPr>
          <w:b/>
        </w:rPr>
        <w:t>: timetable, budget, distribution of work</w:t>
      </w:r>
    </w:p>
    <w:p w:rsidR="00F20757" w:rsidRDefault="00F20757" w:rsidP="00F20757">
      <w:pPr>
        <w:pStyle w:val="ListParagraph"/>
        <w:numPr>
          <w:ilvl w:val="1"/>
          <w:numId w:val="1"/>
        </w:numPr>
        <w:ind w:left="1080"/>
      </w:pPr>
      <w:r w:rsidRPr="00F20757">
        <w:t>Timetable for the research including personnel efforts, favorably table wise</w:t>
      </w:r>
    </w:p>
    <w:p w:rsidR="006235E7" w:rsidRDefault="006235E7" w:rsidP="006235E7">
      <w:pPr>
        <w:pStyle w:val="ListParagraph"/>
      </w:pPr>
    </w:p>
    <w:tbl>
      <w:tblPr>
        <w:tblStyle w:val="TableGrid"/>
        <w:tblW w:w="0" w:type="auto"/>
        <w:tblInd w:w="250" w:type="dxa"/>
        <w:tblLook w:val="04A0"/>
      </w:tblPr>
      <w:tblGrid>
        <w:gridCol w:w="1604"/>
        <w:gridCol w:w="5767"/>
        <w:gridCol w:w="2675"/>
      </w:tblGrid>
      <w:tr w:rsidR="00591560" w:rsidTr="00591560">
        <w:tc>
          <w:tcPr>
            <w:tcW w:w="1604" w:type="dxa"/>
          </w:tcPr>
          <w:p w:rsidR="00591560" w:rsidRDefault="00591560" w:rsidP="00536FFF">
            <w:pPr>
              <w:pStyle w:val="ListParagraph"/>
              <w:ind w:left="0"/>
            </w:pPr>
            <w:r>
              <w:t>Date</w:t>
            </w:r>
          </w:p>
        </w:tc>
        <w:tc>
          <w:tcPr>
            <w:tcW w:w="5767" w:type="dxa"/>
          </w:tcPr>
          <w:p w:rsidR="00591560" w:rsidRDefault="00591560" w:rsidP="00536FFF">
            <w:pPr>
              <w:pStyle w:val="ListParagraph"/>
              <w:ind w:left="0"/>
            </w:pPr>
            <w:r>
              <w:t>Action</w:t>
            </w:r>
          </w:p>
        </w:tc>
        <w:tc>
          <w:tcPr>
            <w:tcW w:w="2675" w:type="dxa"/>
          </w:tcPr>
          <w:p w:rsidR="00591560" w:rsidRDefault="00591560" w:rsidP="00536FFF">
            <w:pPr>
              <w:pStyle w:val="ListParagraph"/>
              <w:ind w:left="0"/>
            </w:pPr>
            <w:r>
              <w:t xml:space="preserve">Effective work (days) </w:t>
            </w:r>
          </w:p>
        </w:tc>
      </w:tr>
      <w:tr w:rsidR="00591560" w:rsidTr="00591560">
        <w:tc>
          <w:tcPr>
            <w:tcW w:w="1604" w:type="dxa"/>
          </w:tcPr>
          <w:p w:rsidR="00591560" w:rsidRDefault="00591560" w:rsidP="006235E7">
            <w:pPr>
              <w:pStyle w:val="ListParagraph"/>
              <w:ind w:left="0"/>
            </w:pPr>
            <w:r>
              <w:t xml:space="preserve">Apr – May-2014 </w:t>
            </w:r>
          </w:p>
        </w:tc>
        <w:tc>
          <w:tcPr>
            <w:tcW w:w="5767" w:type="dxa"/>
          </w:tcPr>
          <w:p w:rsidR="00591560" w:rsidRDefault="00591560" w:rsidP="00536FFF">
            <w:pPr>
              <w:pStyle w:val="ListParagraph"/>
              <w:ind w:left="0"/>
              <w:jc w:val="both"/>
            </w:pPr>
            <w:r>
              <w:t>Prepare sampler, power, sampler tests, sampling protocol</w:t>
            </w:r>
          </w:p>
        </w:tc>
        <w:tc>
          <w:tcPr>
            <w:tcW w:w="2675" w:type="dxa"/>
          </w:tcPr>
          <w:p w:rsidR="00591560" w:rsidRDefault="00591560" w:rsidP="00A323E0">
            <w:pPr>
              <w:pStyle w:val="ListParagraph"/>
              <w:ind w:left="0"/>
              <w:jc w:val="both"/>
            </w:pPr>
            <w:r>
              <w:t>1 (AGH</w:t>
            </w:r>
            <w:r w:rsidR="00A323E0">
              <w:t>)</w:t>
            </w:r>
          </w:p>
        </w:tc>
      </w:tr>
      <w:tr w:rsidR="00591560" w:rsidTr="00591560">
        <w:tc>
          <w:tcPr>
            <w:tcW w:w="1604" w:type="dxa"/>
          </w:tcPr>
          <w:p w:rsidR="00591560" w:rsidRDefault="00591560" w:rsidP="00536FFF">
            <w:pPr>
              <w:pStyle w:val="ListParagraph"/>
              <w:ind w:left="0"/>
            </w:pPr>
            <w:r>
              <w:t>May-2014 – J</w:t>
            </w:r>
            <w:r w:rsidR="00254B93">
              <w:t>ul</w:t>
            </w:r>
            <w:r>
              <w:t>-2015</w:t>
            </w:r>
          </w:p>
        </w:tc>
        <w:tc>
          <w:tcPr>
            <w:tcW w:w="5767" w:type="dxa"/>
          </w:tcPr>
          <w:p w:rsidR="00591560" w:rsidRDefault="00F932CB" w:rsidP="00591560">
            <w:pPr>
              <w:pStyle w:val="ListParagraph"/>
              <w:ind w:left="0"/>
              <w:jc w:val="both"/>
            </w:pPr>
            <w:r>
              <w:t xml:space="preserve">- </w:t>
            </w:r>
            <w:r w:rsidR="00591560">
              <w:t>Flask sampling at Kasprowy Wierch, 2 /month</w:t>
            </w:r>
            <w:r>
              <w:t>,</w:t>
            </w:r>
          </w:p>
          <w:p w:rsidR="00F932CB" w:rsidRDefault="00F932CB" w:rsidP="00591560">
            <w:pPr>
              <w:pStyle w:val="ListParagraph"/>
              <w:ind w:left="0"/>
              <w:jc w:val="both"/>
            </w:pPr>
            <w:r>
              <w:t xml:space="preserve">total </w:t>
            </w:r>
            <w:r w:rsidR="00747713">
              <w:t>30</w:t>
            </w:r>
            <w:r>
              <w:t xml:space="preserve"> samplings</w:t>
            </w:r>
          </w:p>
          <w:p w:rsidR="00F932CB" w:rsidRDefault="00F932CB" w:rsidP="00EA0D8E">
            <w:pPr>
              <w:pStyle w:val="ListParagraph"/>
              <w:ind w:left="0"/>
              <w:jc w:val="both"/>
            </w:pPr>
            <w:r>
              <w:t>- shipment flasks to IMAU</w:t>
            </w:r>
            <w:r w:rsidRPr="00EA0D8E">
              <w:t xml:space="preserve"> (</w:t>
            </w:r>
            <w:r w:rsidR="00EA0D8E" w:rsidRPr="00EA0D8E">
              <w:t>4</w:t>
            </w:r>
            <w:r w:rsidR="00656530" w:rsidRPr="00EA0D8E">
              <w:t xml:space="preserve"> samples / </w:t>
            </w:r>
            <w:r w:rsidR="00EA0D8E" w:rsidRPr="00EA0D8E">
              <w:t>month</w:t>
            </w:r>
            <w:r w:rsidR="00656530" w:rsidRPr="00EA0D8E">
              <w:rPr>
                <w:lang w:val="en-GB"/>
              </w:rPr>
              <w:t xml:space="preserve"> </w:t>
            </w:r>
            <w:r w:rsidR="00EA0D8E" w:rsidRPr="00EA0D8E">
              <w:rPr>
                <w:lang w:val="en-GB"/>
              </w:rPr>
              <w:t>=</w:t>
            </w:r>
            <w:r w:rsidR="00656530" w:rsidRPr="00EA0D8E">
              <w:rPr>
                <w:lang w:val="en-GB"/>
              </w:rPr>
              <w:t xml:space="preserve"> one box </w:t>
            </w:r>
            <w:r w:rsidR="00EA0D8E" w:rsidRPr="00EA0D8E">
              <w:rPr>
                <w:lang w:val="en-GB"/>
              </w:rPr>
              <w:t>every</w:t>
            </w:r>
            <w:r w:rsidR="00656530" w:rsidRPr="00EA0D8E">
              <w:rPr>
                <w:lang w:val="en-GB"/>
              </w:rPr>
              <w:t xml:space="preserve"> </w:t>
            </w:r>
            <w:r w:rsidR="00747713">
              <w:rPr>
                <w:lang w:val="en-GB"/>
              </w:rPr>
              <w:t xml:space="preserve">4 </w:t>
            </w:r>
            <w:r w:rsidR="00656530" w:rsidRPr="00EA0D8E">
              <w:rPr>
                <w:lang w:val="en-GB"/>
              </w:rPr>
              <w:t>months</w:t>
            </w:r>
            <w:r w:rsidRPr="00EA0D8E">
              <w:t>)</w:t>
            </w:r>
          </w:p>
        </w:tc>
        <w:tc>
          <w:tcPr>
            <w:tcW w:w="2675" w:type="dxa"/>
          </w:tcPr>
          <w:p w:rsidR="00F932CB" w:rsidRDefault="00F932CB" w:rsidP="00536FFF">
            <w:pPr>
              <w:pStyle w:val="ListParagraph"/>
              <w:ind w:left="0"/>
              <w:jc w:val="both"/>
            </w:pPr>
            <w:r>
              <w:t>1</w:t>
            </w:r>
            <w:r w:rsidR="00747713">
              <w:t>5</w:t>
            </w:r>
            <w:r>
              <w:t xml:space="preserve"> </w:t>
            </w:r>
            <w:r w:rsidR="00254B93">
              <w:t>(AGH)</w:t>
            </w:r>
          </w:p>
          <w:p w:rsidR="00591560" w:rsidRDefault="00F932CB" w:rsidP="00536FFF">
            <w:pPr>
              <w:pStyle w:val="ListParagraph"/>
              <w:ind w:left="0"/>
              <w:jc w:val="both"/>
            </w:pPr>
            <w:r>
              <w:t>(0.5 days / sampling)</w:t>
            </w:r>
          </w:p>
          <w:p w:rsidR="00F932CB" w:rsidRDefault="00F932CB" w:rsidP="00536FFF">
            <w:pPr>
              <w:pStyle w:val="ListParagraph"/>
              <w:ind w:left="0"/>
              <w:jc w:val="both"/>
            </w:pPr>
          </w:p>
        </w:tc>
      </w:tr>
      <w:tr w:rsidR="00591560" w:rsidTr="00591560">
        <w:tc>
          <w:tcPr>
            <w:tcW w:w="1604" w:type="dxa"/>
          </w:tcPr>
          <w:p w:rsidR="00591560" w:rsidRDefault="00254B93" w:rsidP="00254B93">
            <w:pPr>
              <w:pStyle w:val="ListParagraph"/>
              <w:ind w:left="0"/>
            </w:pPr>
            <w:r>
              <w:t>Jun – 2014 – Sep -2015</w:t>
            </w:r>
          </w:p>
        </w:tc>
        <w:tc>
          <w:tcPr>
            <w:tcW w:w="5767" w:type="dxa"/>
          </w:tcPr>
          <w:p w:rsidR="00591560" w:rsidRDefault="00254B93" w:rsidP="00536FFF">
            <w:pPr>
              <w:pStyle w:val="ListParagraph"/>
              <w:ind w:left="0"/>
              <w:jc w:val="both"/>
            </w:pPr>
            <w:r>
              <w:rPr>
                <w:rFonts w:cstheme="minorHAnsi"/>
              </w:rPr>
              <w:t xml:space="preserve">- </w:t>
            </w:r>
            <w:r w:rsidRPr="00E5439A">
              <w:rPr>
                <w:rFonts w:cstheme="minorHAnsi"/>
              </w:rPr>
              <w:t>H</w:t>
            </w:r>
            <w:r w:rsidRPr="00E5439A">
              <w:rPr>
                <w:rFonts w:cstheme="minorHAnsi"/>
                <w:vertAlign w:val="subscript"/>
              </w:rPr>
              <w:t>2</w:t>
            </w:r>
            <w:r>
              <w:t xml:space="preserve"> isotope measurements at IMAU – </w:t>
            </w:r>
            <w:r w:rsidR="00FE040A">
              <w:t>60</w:t>
            </w:r>
            <w:r w:rsidRPr="009F37CC">
              <w:t xml:space="preserve"> </w:t>
            </w:r>
            <w:bookmarkStart w:id="0" w:name="_GoBack"/>
            <w:bookmarkEnd w:id="0"/>
            <w:r w:rsidRPr="009F37CC">
              <w:t>samples</w:t>
            </w:r>
          </w:p>
          <w:p w:rsidR="009F37CC" w:rsidRDefault="009F37CC" w:rsidP="00536FFF">
            <w:pPr>
              <w:pStyle w:val="ListParagraph"/>
              <w:ind w:left="0"/>
              <w:jc w:val="both"/>
            </w:pPr>
          </w:p>
          <w:p w:rsidR="00254B93" w:rsidRDefault="009F37CC" w:rsidP="00536FFF">
            <w:pPr>
              <w:pStyle w:val="ListParagraph"/>
              <w:ind w:left="0"/>
              <w:jc w:val="both"/>
            </w:pPr>
            <w:r>
              <w:t xml:space="preserve">- </w:t>
            </w:r>
            <w:r w:rsidR="00254B93">
              <w:t>additional species measurements as possible</w:t>
            </w:r>
          </w:p>
        </w:tc>
        <w:tc>
          <w:tcPr>
            <w:tcW w:w="2675" w:type="dxa"/>
          </w:tcPr>
          <w:p w:rsidR="00254B93" w:rsidRDefault="00254B93" w:rsidP="00536FFF">
            <w:pPr>
              <w:pStyle w:val="ListParagraph"/>
              <w:ind w:left="0"/>
              <w:jc w:val="both"/>
            </w:pPr>
            <w:r>
              <w:t>9 – 14 (IMAU)</w:t>
            </w:r>
          </w:p>
          <w:p w:rsidR="009F37CC" w:rsidRDefault="009F37CC" w:rsidP="00536FFF">
            <w:pPr>
              <w:pStyle w:val="ListParagraph"/>
              <w:ind w:left="0"/>
              <w:jc w:val="both"/>
            </w:pPr>
          </w:p>
          <w:p w:rsidR="00254B93" w:rsidRDefault="00254B93" w:rsidP="00536FFF">
            <w:pPr>
              <w:pStyle w:val="ListParagraph"/>
              <w:ind w:left="0"/>
              <w:jc w:val="both"/>
            </w:pPr>
            <w:r>
              <w:t>not estimated</w:t>
            </w:r>
          </w:p>
        </w:tc>
      </w:tr>
      <w:tr w:rsidR="00254B93" w:rsidTr="00591560">
        <w:tc>
          <w:tcPr>
            <w:tcW w:w="1604" w:type="dxa"/>
          </w:tcPr>
          <w:p w:rsidR="00254B93" w:rsidRDefault="00254B93" w:rsidP="00254B93">
            <w:pPr>
              <w:pStyle w:val="ListParagraph"/>
              <w:ind w:left="0"/>
            </w:pPr>
            <w:r>
              <w:t>Jul – Sep-2015</w:t>
            </w:r>
          </w:p>
        </w:tc>
        <w:tc>
          <w:tcPr>
            <w:tcW w:w="5767" w:type="dxa"/>
          </w:tcPr>
          <w:p w:rsidR="00254B93" w:rsidRDefault="00D87769" w:rsidP="00536FFF">
            <w:pPr>
              <w:pStyle w:val="ListParagraph"/>
              <w:ind w:left="0"/>
              <w:jc w:val="both"/>
              <w:rPr>
                <w:rFonts w:cstheme="minorHAnsi"/>
              </w:rPr>
            </w:pPr>
            <w:r>
              <w:rPr>
                <w:rFonts w:cstheme="minorHAnsi"/>
              </w:rPr>
              <w:t>Data analysis</w:t>
            </w:r>
          </w:p>
        </w:tc>
        <w:tc>
          <w:tcPr>
            <w:tcW w:w="2675" w:type="dxa"/>
          </w:tcPr>
          <w:p w:rsidR="00254B93" w:rsidRDefault="00D87769" w:rsidP="00536FFF">
            <w:pPr>
              <w:pStyle w:val="ListParagraph"/>
              <w:ind w:left="0"/>
              <w:jc w:val="both"/>
            </w:pPr>
            <w:r>
              <w:t>(IMAU / AGH)</w:t>
            </w:r>
          </w:p>
        </w:tc>
      </w:tr>
    </w:tbl>
    <w:p w:rsidR="00304330" w:rsidRPr="00F20757" w:rsidRDefault="00304330" w:rsidP="00304330"/>
    <w:p w:rsidR="00F20757" w:rsidRDefault="00F20757" w:rsidP="00F20757">
      <w:pPr>
        <w:pStyle w:val="ListParagraph"/>
        <w:numPr>
          <w:ilvl w:val="1"/>
          <w:numId w:val="1"/>
        </w:numPr>
        <w:ind w:left="1080"/>
      </w:pPr>
      <w:r w:rsidRPr="00F20757">
        <w:t xml:space="preserve">Total budget for travel and logistical support as requested </w:t>
      </w:r>
    </w:p>
    <w:p w:rsidR="00AD1FFA" w:rsidRDefault="00AD1FFA" w:rsidP="00AD1FFA"/>
    <w:tbl>
      <w:tblPr>
        <w:tblStyle w:val="TableGrid"/>
        <w:tblW w:w="0" w:type="auto"/>
        <w:tblInd w:w="250" w:type="dxa"/>
        <w:tblLook w:val="04A0"/>
      </w:tblPr>
      <w:tblGrid>
        <w:gridCol w:w="6521"/>
        <w:gridCol w:w="3525"/>
      </w:tblGrid>
      <w:tr w:rsidR="00AD1FFA" w:rsidTr="00AD1FFA">
        <w:tc>
          <w:tcPr>
            <w:tcW w:w="6521" w:type="dxa"/>
          </w:tcPr>
          <w:p w:rsidR="00AD1FFA" w:rsidRDefault="00AD1FFA" w:rsidP="00536FFF">
            <w:pPr>
              <w:pStyle w:val="ListParagraph"/>
              <w:ind w:left="0"/>
            </w:pPr>
            <w:r>
              <w:t>Subject</w:t>
            </w:r>
          </w:p>
        </w:tc>
        <w:tc>
          <w:tcPr>
            <w:tcW w:w="3525" w:type="dxa"/>
          </w:tcPr>
          <w:p w:rsidR="00AD1FFA" w:rsidRDefault="00AD1FFA" w:rsidP="00536FFF">
            <w:pPr>
              <w:pStyle w:val="ListParagraph"/>
              <w:ind w:left="0"/>
            </w:pPr>
            <w:r>
              <w:t>Maximum expected cost</w:t>
            </w:r>
          </w:p>
        </w:tc>
      </w:tr>
      <w:tr w:rsidR="00AD1FFA" w:rsidTr="00AD1FFA">
        <w:tc>
          <w:tcPr>
            <w:tcW w:w="6521" w:type="dxa"/>
          </w:tcPr>
          <w:p w:rsidR="00AD1FFA" w:rsidRDefault="00AD1FFA" w:rsidP="00B37859">
            <w:pPr>
              <w:pStyle w:val="ListParagraph"/>
              <w:ind w:left="0"/>
            </w:pPr>
            <w:r>
              <w:t xml:space="preserve">1. </w:t>
            </w:r>
            <w:r w:rsidR="00B37859">
              <w:t xml:space="preserve">Flask samples transport Utrecht – Krakow – Utrecht, </w:t>
            </w:r>
          </w:p>
          <w:p w:rsidR="00B37859" w:rsidRDefault="00CE58A3" w:rsidP="000C0AE4">
            <w:pPr>
              <w:pStyle w:val="ListParagraph"/>
              <w:ind w:left="0"/>
            </w:pPr>
            <w:r w:rsidRPr="00CE58A3">
              <w:t>4</w:t>
            </w:r>
            <w:r w:rsidR="00B37859" w:rsidRPr="00CE58A3">
              <w:t xml:space="preserve"> boxes</w:t>
            </w:r>
            <w:r>
              <w:t xml:space="preserve">, </w:t>
            </w:r>
            <w:r w:rsidR="000C0AE4">
              <w:t>3</w:t>
            </w:r>
            <w:r>
              <w:t>00 €/box</w:t>
            </w:r>
          </w:p>
        </w:tc>
        <w:tc>
          <w:tcPr>
            <w:tcW w:w="3525" w:type="dxa"/>
          </w:tcPr>
          <w:p w:rsidR="00AD1FFA" w:rsidRDefault="00AD1FFA" w:rsidP="00536FFF">
            <w:pPr>
              <w:pStyle w:val="ListParagraph"/>
              <w:ind w:left="1734"/>
              <w:jc w:val="right"/>
            </w:pPr>
          </w:p>
          <w:p w:rsidR="00AD1FFA" w:rsidRDefault="000C0AE4" w:rsidP="00536FFF">
            <w:pPr>
              <w:pStyle w:val="ListParagraph"/>
              <w:ind w:left="1734"/>
              <w:jc w:val="right"/>
            </w:pPr>
            <w:r>
              <w:t>120</w:t>
            </w:r>
            <w:r w:rsidR="00CE58A3">
              <w:t>0</w:t>
            </w:r>
            <w:r w:rsidR="00AD1FFA">
              <w:t>€</w:t>
            </w:r>
          </w:p>
          <w:p w:rsidR="00AD1FFA" w:rsidRDefault="00AD1FFA" w:rsidP="00536FFF">
            <w:pPr>
              <w:pStyle w:val="ListParagraph"/>
              <w:ind w:left="1734"/>
              <w:jc w:val="right"/>
            </w:pPr>
          </w:p>
        </w:tc>
      </w:tr>
      <w:tr w:rsidR="00AD1FFA" w:rsidTr="00AD1FFA">
        <w:tc>
          <w:tcPr>
            <w:tcW w:w="6521" w:type="dxa"/>
          </w:tcPr>
          <w:p w:rsidR="00B37859" w:rsidRDefault="00B37859" w:rsidP="00B37859">
            <w:pPr>
              <w:pStyle w:val="ListParagraph"/>
              <w:ind w:left="0"/>
            </w:pPr>
            <w:r>
              <w:t>2</w:t>
            </w:r>
            <w:r w:rsidR="00AD1FFA">
              <w:t xml:space="preserve">. </w:t>
            </w:r>
            <w:r>
              <w:t>Travel for data analysis / discussion /publication</w:t>
            </w:r>
          </w:p>
          <w:p w:rsidR="00AD1FFA" w:rsidRPr="00656530" w:rsidRDefault="00B37859" w:rsidP="00B37859">
            <w:pPr>
              <w:pStyle w:val="ListParagraph"/>
              <w:ind w:left="0"/>
              <w:rPr>
                <w:lang w:val="pl-PL"/>
              </w:rPr>
            </w:pPr>
            <w:r w:rsidRPr="00656530">
              <w:rPr>
                <w:lang w:val="pl-PL"/>
              </w:rPr>
              <w:t>(E. Popa to Krakow, or J. Necki to Utrecht)</w:t>
            </w:r>
          </w:p>
          <w:p w:rsidR="00B37859" w:rsidRDefault="00B37859" w:rsidP="00B37859">
            <w:pPr>
              <w:pStyle w:val="ListParagraph"/>
              <w:ind w:left="0"/>
            </w:pPr>
            <w:r>
              <w:t>- transport</w:t>
            </w:r>
          </w:p>
          <w:p w:rsidR="00B37859" w:rsidRDefault="00B37859" w:rsidP="00B37859">
            <w:pPr>
              <w:pStyle w:val="ListParagraph"/>
              <w:ind w:left="0"/>
            </w:pPr>
            <w:r>
              <w:t>- accommodation + food (5 days)</w:t>
            </w:r>
          </w:p>
        </w:tc>
        <w:tc>
          <w:tcPr>
            <w:tcW w:w="3525" w:type="dxa"/>
          </w:tcPr>
          <w:p w:rsidR="00AD1FFA" w:rsidRDefault="00AD1FFA" w:rsidP="00536FFF">
            <w:pPr>
              <w:pStyle w:val="ListParagraph"/>
              <w:ind w:left="1734"/>
              <w:jc w:val="right"/>
            </w:pPr>
          </w:p>
          <w:p w:rsidR="00AD1FFA" w:rsidRDefault="00AD1FFA" w:rsidP="00536FFF">
            <w:pPr>
              <w:pStyle w:val="ListParagraph"/>
              <w:ind w:left="1734"/>
              <w:jc w:val="right"/>
            </w:pPr>
          </w:p>
          <w:p w:rsidR="00B37859" w:rsidRDefault="004A6495" w:rsidP="00536FFF">
            <w:pPr>
              <w:pStyle w:val="ListParagraph"/>
              <w:ind w:left="1734"/>
              <w:jc w:val="right"/>
            </w:pPr>
            <w:r>
              <w:t>4</w:t>
            </w:r>
            <w:r w:rsidR="00B37859">
              <w:t>00</w:t>
            </w:r>
          </w:p>
          <w:p w:rsidR="00B37859" w:rsidRDefault="004A6495" w:rsidP="004A6495">
            <w:pPr>
              <w:pStyle w:val="ListParagraph"/>
              <w:ind w:left="1734"/>
              <w:jc w:val="right"/>
            </w:pPr>
            <w:r>
              <w:t>5</w:t>
            </w:r>
            <w:r w:rsidR="00B37859">
              <w:t xml:space="preserve">0 x 5 = </w:t>
            </w:r>
            <w:r>
              <w:t>25</w:t>
            </w:r>
            <w:r w:rsidR="00B37859">
              <w:t>0</w:t>
            </w:r>
          </w:p>
        </w:tc>
      </w:tr>
      <w:tr w:rsidR="00AD1FFA" w:rsidTr="00AD1FFA">
        <w:tc>
          <w:tcPr>
            <w:tcW w:w="6521" w:type="dxa"/>
          </w:tcPr>
          <w:p w:rsidR="00AD1FFA" w:rsidRPr="008F663F" w:rsidRDefault="00AD1FFA" w:rsidP="00536FFF">
            <w:pPr>
              <w:pStyle w:val="ListParagraph"/>
              <w:ind w:left="0"/>
              <w:jc w:val="right"/>
              <w:rPr>
                <w:b/>
              </w:rPr>
            </w:pPr>
            <w:r>
              <w:rPr>
                <w:b/>
              </w:rPr>
              <w:t>Total</w:t>
            </w:r>
          </w:p>
        </w:tc>
        <w:tc>
          <w:tcPr>
            <w:tcW w:w="3525" w:type="dxa"/>
          </w:tcPr>
          <w:p w:rsidR="00AD1FFA" w:rsidRPr="008F663F" w:rsidRDefault="00AD1FFA" w:rsidP="004A6495">
            <w:pPr>
              <w:pStyle w:val="ListParagraph"/>
              <w:ind w:left="1734"/>
              <w:jc w:val="right"/>
              <w:rPr>
                <w:b/>
              </w:rPr>
            </w:pPr>
            <w:r>
              <w:rPr>
                <w:b/>
              </w:rPr>
              <w:t>1</w:t>
            </w:r>
            <w:r w:rsidR="004A6495">
              <w:rPr>
                <w:b/>
              </w:rPr>
              <w:t>85</w:t>
            </w:r>
            <w:r w:rsidRPr="008F663F">
              <w:rPr>
                <w:b/>
              </w:rPr>
              <w:t>0€</w:t>
            </w:r>
          </w:p>
        </w:tc>
      </w:tr>
    </w:tbl>
    <w:p w:rsidR="00AD1FFA" w:rsidRDefault="00AD1FFA" w:rsidP="00AD1FFA"/>
    <w:p w:rsidR="00F20757" w:rsidRPr="00F20757" w:rsidRDefault="00F20757" w:rsidP="00F20757">
      <w:pPr>
        <w:pStyle w:val="ListParagraph"/>
        <w:numPr>
          <w:ilvl w:val="1"/>
          <w:numId w:val="1"/>
        </w:numPr>
        <w:ind w:left="1080"/>
      </w:pPr>
      <w:r w:rsidRPr="00F20757">
        <w:t xml:space="preserve">Plan for specific </w:t>
      </w:r>
      <w:r w:rsidR="00EF01F2" w:rsidRPr="00F20757">
        <w:t>logistic</w:t>
      </w:r>
      <w:r w:rsidRPr="00F20757">
        <w:t xml:space="preserve"> needs like visa, import/export licenses etc.</w:t>
      </w:r>
    </w:p>
    <w:p w:rsidR="00861515" w:rsidRDefault="00AD1FFA" w:rsidP="00207AF9">
      <w:r>
        <w:t>N</w:t>
      </w:r>
      <w:r w:rsidR="00207AF9" w:rsidRPr="00207AF9">
        <w:t>ot needed</w:t>
      </w:r>
    </w:p>
    <w:p w:rsidR="00AD1FFA" w:rsidRPr="00207AF9" w:rsidRDefault="00AD1FFA" w:rsidP="00207AF9"/>
    <w:p w:rsidR="00861515" w:rsidRDefault="00861515" w:rsidP="00F20757">
      <w:pPr>
        <w:pStyle w:val="ListParagraph"/>
        <w:numPr>
          <w:ilvl w:val="0"/>
          <w:numId w:val="1"/>
        </w:numPr>
        <w:ind w:left="360"/>
        <w:rPr>
          <w:b/>
        </w:rPr>
      </w:pPr>
      <w:r>
        <w:rPr>
          <w:b/>
        </w:rPr>
        <w:t>Expected results and possible risks</w:t>
      </w:r>
    </w:p>
    <w:p w:rsidR="00F20757" w:rsidRDefault="00F20757" w:rsidP="00F20757">
      <w:pPr>
        <w:pStyle w:val="ListParagraph"/>
        <w:numPr>
          <w:ilvl w:val="1"/>
          <w:numId w:val="1"/>
        </w:numPr>
        <w:ind w:left="1080"/>
      </w:pPr>
      <w:r w:rsidRPr="00F20757">
        <w:t>Expected scientific impact of the research</w:t>
      </w:r>
    </w:p>
    <w:p w:rsidR="00984F0E" w:rsidRDefault="00984F0E" w:rsidP="00207AF9">
      <w:r>
        <w:t xml:space="preserve">Using the samples from Kasprowy Wierch, we expect to be able to quantify the contribution of the oxidation by OH to the total sink of </w:t>
      </w:r>
      <w:r w:rsidRPr="00E5439A">
        <w:rPr>
          <w:rFonts w:cstheme="minorHAnsi"/>
        </w:rPr>
        <w:t>H</w:t>
      </w:r>
      <w:r w:rsidRPr="00E5439A">
        <w:rPr>
          <w:rFonts w:cstheme="minorHAnsi"/>
          <w:vertAlign w:val="subscript"/>
        </w:rPr>
        <w:t>2</w:t>
      </w:r>
      <w:r>
        <w:t xml:space="preserve"> and its seasonality. This result, combined with the on-going research of the AGH group, will lead to a better estimation of the regional </w:t>
      </w:r>
      <w:r w:rsidRPr="00E5439A">
        <w:rPr>
          <w:rFonts w:cstheme="minorHAnsi"/>
        </w:rPr>
        <w:t>H</w:t>
      </w:r>
      <w:r w:rsidRPr="00E5439A">
        <w:rPr>
          <w:rFonts w:cstheme="minorHAnsi"/>
          <w:vertAlign w:val="subscript"/>
        </w:rPr>
        <w:t>2</w:t>
      </w:r>
      <w:r>
        <w:t xml:space="preserve"> budget. </w:t>
      </w:r>
      <w:r w:rsidR="00332359">
        <w:t xml:space="preserve">Comparing our results on the OH sink with average global estimates, and with results from other stations from </w:t>
      </w:r>
      <w:r w:rsidR="00332359" w:rsidRPr="00D12D07">
        <w:t xml:space="preserve">Batenburg et al., </w:t>
      </w:r>
      <w:r w:rsidR="00D12D07" w:rsidRPr="00D12D07">
        <w:t>2011</w:t>
      </w:r>
      <w:r w:rsidR="00332359" w:rsidRPr="00D12D07">
        <w:t>,</w:t>
      </w:r>
      <w:r w:rsidR="00332359">
        <w:t xml:space="preserve"> will provide information on the </w:t>
      </w:r>
      <w:r w:rsidR="00332359">
        <w:lastRenderedPageBreak/>
        <w:t xml:space="preserve">spatial variability of the </w:t>
      </w:r>
      <w:r w:rsidR="00332359" w:rsidRPr="00E5439A">
        <w:rPr>
          <w:rFonts w:cstheme="minorHAnsi"/>
        </w:rPr>
        <w:t>H</w:t>
      </w:r>
      <w:r w:rsidR="00332359" w:rsidRPr="00E5439A">
        <w:rPr>
          <w:rFonts w:cstheme="minorHAnsi"/>
          <w:vertAlign w:val="subscript"/>
        </w:rPr>
        <w:t>2</w:t>
      </w:r>
      <w:r w:rsidR="00332359">
        <w:t xml:space="preserve"> sink. We will also look into a possible application of our results for constraining the contribution if OH oxidation to the budget of other species, e.g. CO and </w:t>
      </w:r>
      <w:r w:rsidR="00332359" w:rsidRPr="005E0FCB">
        <w:t>CH</w:t>
      </w:r>
      <w:r w:rsidR="00332359" w:rsidRPr="005E0FCB">
        <w:rPr>
          <w:vertAlign w:val="subscript"/>
        </w:rPr>
        <w:t>4</w:t>
      </w:r>
      <w:r w:rsidR="00332359">
        <w:t xml:space="preserve">. </w:t>
      </w:r>
    </w:p>
    <w:p w:rsidR="00F20757" w:rsidRDefault="00F20757" w:rsidP="00F20757">
      <w:pPr>
        <w:pStyle w:val="ListParagraph"/>
        <w:numPr>
          <w:ilvl w:val="1"/>
          <w:numId w:val="1"/>
        </w:numPr>
        <w:ind w:left="1080"/>
      </w:pPr>
      <w:r w:rsidRPr="00F20757">
        <w:t>Applicability and feasibility of the research results</w:t>
      </w:r>
    </w:p>
    <w:p w:rsidR="00BF10E7" w:rsidRDefault="00BF10E7" w:rsidP="00207AF9">
      <w:r>
        <w:t xml:space="preserve">Due to the large difference in fractionation between the two major sinks of </w:t>
      </w:r>
      <w:r w:rsidRPr="00E5439A">
        <w:rPr>
          <w:rFonts w:cstheme="minorHAnsi"/>
        </w:rPr>
        <w:t>H</w:t>
      </w:r>
      <w:r w:rsidRPr="00E5439A">
        <w:rPr>
          <w:rFonts w:cstheme="minorHAnsi"/>
          <w:vertAlign w:val="subscript"/>
        </w:rPr>
        <w:t>2</w:t>
      </w:r>
      <w:r>
        <w:t xml:space="preserve">, it is in principle possible to distinguish their contribution based on the isotopic composition of the remaining </w:t>
      </w:r>
      <w:r w:rsidRPr="00E5439A">
        <w:rPr>
          <w:rFonts w:cstheme="minorHAnsi"/>
        </w:rPr>
        <w:t>H</w:t>
      </w:r>
      <w:r w:rsidRPr="00E5439A">
        <w:rPr>
          <w:rFonts w:cstheme="minorHAnsi"/>
          <w:vertAlign w:val="subscript"/>
        </w:rPr>
        <w:t>2</w:t>
      </w:r>
      <w:r>
        <w:t xml:space="preserve">. </w:t>
      </w:r>
      <w:r w:rsidR="003C3AED">
        <w:t xml:space="preserve">Several condition must be fulfilled, for this approach to be successful: (1) a dataset of at least one year is needed, to cover the full seasonal variation; (2) the contribution of local sources during sampling must be minimal; (3) the loss of </w:t>
      </w:r>
      <w:r w:rsidR="003C3AED" w:rsidRPr="00E5439A">
        <w:rPr>
          <w:rFonts w:cstheme="minorHAnsi"/>
        </w:rPr>
        <w:t>H</w:t>
      </w:r>
      <w:r w:rsidR="003C3AED" w:rsidRPr="00E5439A">
        <w:rPr>
          <w:rFonts w:cstheme="minorHAnsi"/>
          <w:vertAlign w:val="subscript"/>
        </w:rPr>
        <w:t>2</w:t>
      </w:r>
      <w:r w:rsidR="003C3AED">
        <w:t xml:space="preserve"> by reaction with OH or soil uptake must be large enough to produce clear signals in </w:t>
      </w:r>
      <w:r w:rsidR="003C3AED" w:rsidRPr="00E5439A">
        <w:rPr>
          <w:rFonts w:cstheme="minorHAnsi"/>
        </w:rPr>
        <w:t>H</w:t>
      </w:r>
      <w:r w:rsidR="003C3AED" w:rsidRPr="00E5439A">
        <w:rPr>
          <w:rFonts w:cstheme="minorHAnsi"/>
          <w:vertAlign w:val="subscript"/>
        </w:rPr>
        <w:t>2</w:t>
      </w:r>
      <w:r w:rsidR="003C3AED">
        <w:t xml:space="preserve"> mole fractions and isotopic signatures. </w:t>
      </w:r>
    </w:p>
    <w:p w:rsidR="00F20757" w:rsidRDefault="00F20757" w:rsidP="00F20757">
      <w:pPr>
        <w:pStyle w:val="ListParagraph"/>
        <w:numPr>
          <w:ilvl w:val="1"/>
          <w:numId w:val="1"/>
        </w:numPr>
        <w:ind w:left="1080"/>
      </w:pPr>
      <w:r w:rsidRPr="00F20757">
        <w:t>Publication plan</w:t>
      </w:r>
    </w:p>
    <w:p w:rsidR="00207AF9" w:rsidRPr="00F20757" w:rsidRDefault="00BF10E7" w:rsidP="00207AF9">
      <w:r>
        <w:t>A</w:t>
      </w:r>
      <w:r w:rsidR="00207AF9">
        <w:t xml:space="preserve"> publication on the </w:t>
      </w:r>
      <w:r w:rsidR="00207AF9" w:rsidRPr="00E5439A">
        <w:rPr>
          <w:rFonts w:cstheme="minorHAnsi"/>
        </w:rPr>
        <w:t>H</w:t>
      </w:r>
      <w:r w:rsidR="00207AF9" w:rsidRPr="00E5439A">
        <w:rPr>
          <w:rFonts w:cstheme="minorHAnsi"/>
          <w:vertAlign w:val="subscript"/>
        </w:rPr>
        <w:t>2</w:t>
      </w:r>
      <w:r w:rsidR="00207AF9">
        <w:t xml:space="preserve"> regional budget is planned, which will include the results of this project</w:t>
      </w:r>
      <w:r>
        <w:t xml:space="preserve">. </w:t>
      </w:r>
    </w:p>
    <w:p w:rsidR="00F20757" w:rsidRDefault="00F20757" w:rsidP="00F20757">
      <w:pPr>
        <w:pStyle w:val="ListParagraph"/>
        <w:numPr>
          <w:ilvl w:val="1"/>
          <w:numId w:val="1"/>
        </w:numPr>
        <w:ind w:left="1080"/>
      </w:pPr>
      <w:r w:rsidRPr="00F20757">
        <w:t>Data access plan</w:t>
      </w:r>
    </w:p>
    <w:p w:rsidR="00207AF9" w:rsidRPr="00F20757" w:rsidRDefault="00BF10E7" w:rsidP="00207AF9">
      <w:r>
        <w:t>T</w:t>
      </w:r>
      <w:r w:rsidR="00207AF9">
        <w:t>he data will be</w:t>
      </w:r>
      <w:r>
        <w:t>come</w:t>
      </w:r>
      <w:r w:rsidR="00207AF9">
        <w:t xml:space="preserve"> public immediately after publication</w:t>
      </w:r>
      <w:r>
        <w:t>.</w:t>
      </w:r>
    </w:p>
    <w:p w:rsidR="00861515" w:rsidRPr="00861515" w:rsidRDefault="00861515" w:rsidP="00F20757">
      <w:pPr>
        <w:pStyle w:val="ListParagraph"/>
        <w:ind w:left="360"/>
        <w:rPr>
          <w:b/>
        </w:rPr>
      </w:pPr>
    </w:p>
    <w:p w:rsidR="00861515" w:rsidRDefault="00861515" w:rsidP="00F20757">
      <w:pPr>
        <w:pStyle w:val="ListParagraph"/>
        <w:numPr>
          <w:ilvl w:val="0"/>
          <w:numId w:val="1"/>
        </w:numPr>
        <w:ind w:left="360"/>
        <w:rPr>
          <w:b/>
        </w:rPr>
      </w:pPr>
      <w:r>
        <w:rPr>
          <w:b/>
        </w:rPr>
        <w:t>Key literature</w:t>
      </w:r>
    </w:p>
    <w:p w:rsidR="00446697" w:rsidRDefault="00F20757" w:rsidP="00F20757">
      <w:pPr>
        <w:pStyle w:val="ListParagraph"/>
        <w:numPr>
          <w:ilvl w:val="1"/>
          <w:numId w:val="1"/>
        </w:numPr>
        <w:ind w:left="1080"/>
      </w:pPr>
      <w:r w:rsidRPr="00F20757">
        <w:t>List of references used in the working plan</w:t>
      </w:r>
    </w:p>
    <w:p w:rsidR="0069425B" w:rsidRDefault="0069425B" w:rsidP="00207AF9"/>
    <w:p w:rsidR="00A946C2" w:rsidRPr="00370A36" w:rsidRDefault="00A946C2" w:rsidP="00A946C2">
      <w:pPr>
        <w:autoSpaceDE w:val="0"/>
        <w:autoSpaceDN w:val="0"/>
        <w:adjustRightInd w:val="0"/>
        <w:ind w:left="720" w:hanging="720"/>
        <w:rPr>
          <w:rFonts w:cs="Arial"/>
          <w:lang w:val="en-GB"/>
        </w:rPr>
      </w:pPr>
      <w:r w:rsidRPr="00370A36">
        <w:rPr>
          <w:rFonts w:cs="Arial"/>
          <w:lang w:val="en-GB"/>
        </w:rPr>
        <w:t>Bartyzel, J., J. Necki, D. Zieba, K. Rozanski &amp; M. Gasiorek 2013, European Journal of Soil Science, 64, 597.</w:t>
      </w:r>
    </w:p>
    <w:p w:rsidR="00A946C2" w:rsidRPr="00370A36" w:rsidRDefault="00A946C2" w:rsidP="00A946C2">
      <w:pPr>
        <w:autoSpaceDE w:val="0"/>
        <w:autoSpaceDN w:val="0"/>
        <w:adjustRightInd w:val="0"/>
        <w:ind w:left="720" w:hanging="720"/>
        <w:rPr>
          <w:rFonts w:cs="Arial"/>
          <w:lang w:val="en-GB"/>
        </w:rPr>
      </w:pPr>
      <w:r w:rsidRPr="00370A36">
        <w:rPr>
          <w:rFonts w:cs="Arial"/>
          <w:lang w:val="en-GB"/>
        </w:rPr>
        <w:t>Batenburg, A., T. Schuck, A. Baker, A. Zahn, C. Brenninkmeijer &amp; T. Röckmann 2012, Atmospheric Chemistry and Physics, 12, 4633.</w:t>
      </w:r>
    </w:p>
    <w:p w:rsidR="00A946C2" w:rsidRPr="00370A36" w:rsidRDefault="00A946C2" w:rsidP="00A946C2">
      <w:pPr>
        <w:autoSpaceDE w:val="0"/>
        <w:autoSpaceDN w:val="0"/>
        <w:adjustRightInd w:val="0"/>
        <w:ind w:left="720" w:hanging="720"/>
        <w:rPr>
          <w:rFonts w:cs="Arial"/>
          <w:lang w:val="en-GB"/>
        </w:rPr>
      </w:pPr>
      <w:r w:rsidRPr="00370A36">
        <w:rPr>
          <w:rFonts w:cs="Arial"/>
          <w:lang w:val="en-GB"/>
        </w:rPr>
        <w:t>Batenburg, A., et al. 2011, Atmospheric Chemistry and Physics, 11, 6985.</w:t>
      </w:r>
    </w:p>
    <w:p w:rsidR="00A946C2" w:rsidRPr="00370A36" w:rsidRDefault="00A946C2" w:rsidP="00A946C2">
      <w:pPr>
        <w:autoSpaceDE w:val="0"/>
        <w:autoSpaceDN w:val="0"/>
        <w:adjustRightInd w:val="0"/>
        <w:ind w:left="720" w:hanging="720"/>
        <w:rPr>
          <w:rFonts w:cs="Arial"/>
          <w:lang w:val="en-GB"/>
        </w:rPr>
      </w:pPr>
      <w:r w:rsidRPr="00370A36">
        <w:rPr>
          <w:rFonts w:cs="Arial"/>
          <w:lang w:val="en-GB"/>
        </w:rPr>
        <w:t>Derwent, R., P. Simmonds, S. O'Doherty, A. Manning, W. Collins &amp; D. Stevenson 2006, International Journal of Nuclear Hydrogen Production and Applications, 1, 57.</w:t>
      </w:r>
    </w:p>
    <w:p w:rsidR="00A946C2" w:rsidRPr="00370A36" w:rsidRDefault="00A946C2" w:rsidP="00A946C2">
      <w:pPr>
        <w:autoSpaceDE w:val="0"/>
        <w:autoSpaceDN w:val="0"/>
        <w:adjustRightInd w:val="0"/>
        <w:ind w:left="720" w:hanging="720"/>
        <w:rPr>
          <w:rFonts w:cs="Arial"/>
          <w:lang w:val="en-GB"/>
        </w:rPr>
      </w:pPr>
      <w:r w:rsidRPr="00370A36">
        <w:rPr>
          <w:rFonts w:cs="Arial"/>
          <w:lang w:val="en-GB"/>
        </w:rPr>
        <w:t xml:space="preserve">Necki, J. &amp; L. Chmura Year, in, EGU General Assembly Conference Abstracts </w:t>
      </w:r>
    </w:p>
    <w:p w:rsidR="00A946C2" w:rsidRPr="00370A36" w:rsidRDefault="00A946C2" w:rsidP="00A946C2">
      <w:pPr>
        <w:autoSpaceDE w:val="0"/>
        <w:autoSpaceDN w:val="0"/>
        <w:adjustRightInd w:val="0"/>
        <w:ind w:left="720" w:hanging="720"/>
        <w:rPr>
          <w:rFonts w:cs="Arial"/>
          <w:lang w:val="en-GB"/>
        </w:rPr>
      </w:pPr>
      <w:r w:rsidRPr="00370A36">
        <w:rPr>
          <w:rFonts w:cs="Arial"/>
          <w:lang w:val="en-GB"/>
        </w:rPr>
        <w:t>Rhee, T. S., C. A. M. Brenninkmeijer &amp; T. Roeckmann 2006, Atmos Chem Phys, 6, 1611.</w:t>
      </w:r>
    </w:p>
    <w:p w:rsidR="00A946C2" w:rsidRPr="00370A36" w:rsidRDefault="00A946C2" w:rsidP="00A946C2">
      <w:pPr>
        <w:autoSpaceDE w:val="0"/>
        <w:autoSpaceDN w:val="0"/>
        <w:adjustRightInd w:val="0"/>
        <w:ind w:left="720" w:hanging="720"/>
        <w:rPr>
          <w:rFonts w:cs="Arial"/>
          <w:lang w:val="en-GB"/>
        </w:rPr>
      </w:pPr>
      <w:r w:rsidRPr="00370A36">
        <w:rPr>
          <w:rFonts w:cs="Arial"/>
          <w:lang w:val="en-GB"/>
        </w:rPr>
        <w:t>Röckmann, T., et al. 2010, Atmospheric Chemistry and Physics, 10, 5343.</w:t>
      </w:r>
    </w:p>
    <w:p w:rsidR="00A946C2" w:rsidRPr="00370A36" w:rsidRDefault="00A946C2" w:rsidP="00A946C2">
      <w:pPr>
        <w:autoSpaceDE w:val="0"/>
        <w:autoSpaceDN w:val="0"/>
        <w:adjustRightInd w:val="0"/>
        <w:ind w:left="720" w:hanging="720"/>
        <w:rPr>
          <w:rFonts w:cs="Arial"/>
          <w:lang w:val="en-GB"/>
        </w:rPr>
      </w:pPr>
      <w:r w:rsidRPr="00370A36">
        <w:rPr>
          <w:rFonts w:cs="Arial"/>
          <w:lang w:val="en-GB"/>
        </w:rPr>
        <w:t>Vollmer, M. K., S. Walter, J. Mohn, M. Steinbacher, S. W. Bond, T. Röckmann &amp; S. Reimann 2012, Atmospheric Chemistry and Physics, 12, 6275.</w:t>
      </w:r>
    </w:p>
    <w:p w:rsidR="00A946C2" w:rsidRPr="00370A36" w:rsidRDefault="00A946C2" w:rsidP="00A946C2">
      <w:pPr>
        <w:autoSpaceDE w:val="0"/>
        <w:autoSpaceDN w:val="0"/>
        <w:adjustRightInd w:val="0"/>
        <w:ind w:left="720" w:hanging="720"/>
        <w:rPr>
          <w:rFonts w:cs="Arial"/>
          <w:lang w:val="en-GB"/>
        </w:rPr>
      </w:pPr>
      <w:r w:rsidRPr="00370A36">
        <w:rPr>
          <w:rFonts w:cs="Arial"/>
          <w:lang w:val="en-GB"/>
        </w:rPr>
        <w:t>Walter, S., S. Laukenmann, A. Stams, M. Vollmer, G. Gleixner &amp; T. Röckmann 2012, Biogeosciences, 9, 4115.</w:t>
      </w:r>
    </w:p>
    <w:p w:rsidR="00656530" w:rsidRDefault="00656530"/>
    <w:p w:rsidR="00656530" w:rsidRDefault="00656530"/>
    <w:sectPr w:rsidR="00656530" w:rsidSect="004274C0">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0D8" w:rsidRDefault="00AB60D8" w:rsidP="00446697">
      <w:r>
        <w:separator/>
      </w:r>
    </w:p>
  </w:endnote>
  <w:endnote w:type="continuationSeparator" w:id="1">
    <w:p w:rsidR="00AB60D8" w:rsidRDefault="00AB60D8" w:rsidP="004466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013" w:rsidRDefault="00E05013" w:rsidP="0032758B">
    <w:pPr>
      <w:pStyle w:val="Footer"/>
      <w:tabs>
        <w:tab w:val="clear" w:pos="4680"/>
        <w:tab w:val="clear" w:pos="9360"/>
        <w:tab w:val="center" w:pos="5103"/>
        <w:tab w:val="right" w:pos="10065"/>
      </w:tabs>
    </w:pPr>
    <w:r>
      <w:t>30nov2011</w:t>
    </w:r>
  </w:p>
  <w:p w:rsidR="00E05013" w:rsidRDefault="00E05013" w:rsidP="00CD4EFD">
    <w:pPr>
      <w:pStyle w:val="Footer"/>
      <w:tabs>
        <w:tab w:val="clear" w:pos="9360"/>
        <w:tab w:val="right" w:pos="8640"/>
      </w:tabs>
    </w:pPr>
    <w:r>
      <w:t>ATV</w:t>
    </w:r>
    <w:r>
      <w:tab/>
      <w:t>InGOS TNA application workplan</w:t>
    </w:r>
    <w:r>
      <w:tab/>
    </w:r>
    <w:r w:rsidR="0032758B">
      <w:tab/>
    </w:r>
    <w:r w:rsidRPr="00CD4EFD">
      <w:t xml:space="preserve">~ </w:t>
    </w:r>
    <w:r w:rsidR="00892F17">
      <w:fldChar w:fldCharType="begin"/>
    </w:r>
    <w:r w:rsidR="002013A2">
      <w:instrText xml:space="preserve"> PAGE    \* MERGEFORMAT </w:instrText>
    </w:r>
    <w:r w:rsidR="00892F17">
      <w:fldChar w:fldCharType="separate"/>
    </w:r>
    <w:r w:rsidR="004A6495">
      <w:rPr>
        <w:noProof/>
      </w:rPr>
      <w:t>4</w:t>
    </w:r>
    <w:r w:rsidR="00892F17">
      <w:rPr>
        <w:noProof/>
      </w:rPr>
      <w:fldChar w:fldCharType="end"/>
    </w:r>
    <w:r w:rsidRPr="00CD4EFD">
      <w:t xml:space="preserve"> ~</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0D8" w:rsidRDefault="00AB60D8" w:rsidP="00446697">
      <w:r>
        <w:separator/>
      </w:r>
    </w:p>
  </w:footnote>
  <w:footnote w:type="continuationSeparator" w:id="1">
    <w:p w:rsidR="00AB60D8" w:rsidRDefault="00AB60D8" w:rsidP="004466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013" w:rsidRDefault="00E05013" w:rsidP="00446697">
    <w:pPr>
      <w:pStyle w:val="Header"/>
      <w:jc w:val="right"/>
    </w:pPr>
    <w:r>
      <w:rPr>
        <w:noProof/>
        <w:lang w:val="en-GB" w:eastAsia="en-GB"/>
      </w:rPr>
      <w:drawing>
        <wp:inline distT="0" distB="0" distL="0" distR="0">
          <wp:extent cx="2049375" cy="790575"/>
          <wp:effectExtent l="0" t="0" r="0" b="0"/>
          <wp:docPr id="1" name="Picture 0" descr="ingos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oslogo_v2.png"/>
                  <pic:cNvPicPr/>
                </pic:nvPicPr>
                <pic:blipFill>
                  <a:blip r:embed="rId1"/>
                  <a:stretch>
                    <a:fillRect/>
                  </a:stretch>
                </pic:blipFill>
                <pic:spPr>
                  <a:xfrm>
                    <a:off x="0" y="0"/>
                    <a:ext cx="2051221" cy="79128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212B"/>
    <w:multiLevelType w:val="hybridMultilevel"/>
    <w:tmpl w:val="0B982C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446697"/>
    <w:rsid w:val="0000005B"/>
    <w:rsid w:val="00076EA9"/>
    <w:rsid w:val="000C0AE4"/>
    <w:rsid w:val="000C4F40"/>
    <w:rsid w:val="000E5B19"/>
    <w:rsid w:val="000E6D3F"/>
    <w:rsid w:val="00140995"/>
    <w:rsid w:val="00165721"/>
    <w:rsid w:val="00187440"/>
    <w:rsid w:val="001E233B"/>
    <w:rsid w:val="001F4912"/>
    <w:rsid w:val="002013A2"/>
    <w:rsid w:val="00204BAF"/>
    <w:rsid w:val="00207AF9"/>
    <w:rsid w:val="00254B93"/>
    <w:rsid w:val="002B305B"/>
    <w:rsid w:val="002B5922"/>
    <w:rsid w:val="002D14E9"/>
    <w:rsid w:val="002E6A5B"/>
    <w:rsid w:val="00304330"/>
    <w:rsid w:val="0032758B"/>
    <w:rsid w:val="00332359"/>
    <w:rsid w:val="00370A36"/>
    <w:rsid w:val="003759F9"/>
    <w:rsid w:val="003B35D6"/>
    <w:rsid w:val="003C3AED"/>
    <w:rsid w:val="003E1C57"/>
    <w:rsid w:val="004007C4"/>
    <w:rsid w:val="00405F25"/>
    <w:rsid w:val="004274C0"/>
    <w:rsid w:val="0044623C"/>
    <w:rsid w:val="00446697"/>
    <w:rsid w:val="004A6495"/>
    <w:rsid w:val="004C3BC1"/>
    <w:rsid w:val="00515621"/>
    <w:rsid w:val="00524D9E"/>
    <w:rsid w:val="005337AD"/>
    <w:rsid w:val="00540A42"/>
    <w:rsid w:val="005457BF"/>
    <w:rsid w:val="005634C3"/>
    <w:rsid w:val="00567307"/>
    <w:rsid w:val="00570D32"/>
    <w:rsid w:val="00591560"/>
    <w:rsid w:val="005A7346"/>
    <w:rsid w:val="005E3723"/>
    <w:rsid w:val="005E391A"/>
    <w:rsid w:val="005F0316"/>
    <w:rsid w:val="006218FD"/>
    <w:rsid w:val="006235E7"/>
    <w:rsid w:val="006352F1"/>
    <w:rsid w:val="00656530"/>
    <w:rsid w:val="006817B4"/>
    <w:rsid w:val="006904A0"/>
    <w:rsid w:val="0069425B"/>
    <w:rsid w:val="006A223B"/>
    <w:rsid w:val="006F46F8"/>
    <w:rsid w:val="007036ED"/>
    <w:rsid w:val="00747713"/>
    <w:rsid w:val="00752CB2"/>
    <w:rsid w:val="007531A8"/>
    <w:rsid w:val="0075638D"/>
    <w:rsid w:val="007575F3"/>
    <w:rsid w:val="007B2D34"/>
    <w:rsid w:val="00830EDC"/>
    <w:rsid w:val="008377CC"/>
    <w:rsid w:val="008424B2"/>
    <w:rsid w:val="0084491A"/>
    <w:rsid w:val="00861515"/>
    <w:rsid w:val="00873AB4"/>
    <w:rsid w:val="00881834"/>
    <w:rsid w:val="00892F17"/>
    <w:rsid w:val="008A1BFA"/>
    <w:rsid w:val="00930111"/>
    <w:rsid w:val="00984F0E"/>
    <w:rsid w:val="009B7805"/>
    <w:rsid w:val="009F37CC"/>
    <w:rsid w:val="00A1462C"/>
    <w:rsid w:val="00A25DCB"/>
    <w:rsid w:val="00A323E0"/>
    <w:rsid w:val="00A66123"/>
    <w:rsid w:val="00A946C2"/>
    <w:rsid w:val="00AB60D8"/>
    <w:rsid w:val="00AC6E38"/>
    <w:rsid w:val="00AD1FFA"/>
    <w:rsid w:val="00B16CAB"/>
    <w:rsid w:val="00B21B65"/>
    <w:rsid w:val="00B23B80"/>
    <w:rsid w:val="00B26202"/>
    <w:rsid w:val="00B32EE6"/>
    <w:rsid w:val="00B37859"/>
    <w:rsid w:val="00B5581D"/>
    <w:rsid w:val="00BE06BB"/>
    <w:rsid w:val="00BE2E06"/>
    <w:rsid w:val="00BE7E75"/>
    <w:rsid w:val="00BF10E7"/>
    <w:rsid w:val="00C55649"/>
    <w:rsid w:val="00CA42B3"/>
    <w:rsid w:val="00CC2A02"/>
    <w:rsid w:val="00CD4EFD"/>
    <w:rsid w:val="00CE58A3"/>
    <w:rsid w:val="00D12D07"/>
    <w:rsid w:val="00D60CD3"/>
    <w:rsid w:val="00D85996"/>
    <w:rsid w:val="00D87769"/>
    <w:rsid w:val="00E05013"/>
    <w:rsid w:val="00E068BD"/>
    <w:rsid w:val="00E2448F"/>
    <w:rsid w:val="00E53B9A"/>
    <w:rsid w:val="00E72258"/>
    <w:rsid w:val="00E92E66"/>
    <w:rsid w:val="00EA0D8E"/>
    <w:rsid w:val="00EB4D88"/>
    <w:rsid w:val="00EF01F2"/>
    <w:rsid w:val="00F20757"/>
    <w:rsid w:val="00F2532E"/>
    <w:rsid w:val="00F26BA0"/>
    <w:rsid w:val="00F449F1"/>
    <w:rsid w:val="00F45711"/>
    <w:rsid w:val="00F45FF8"/>
    <w:rsid w:val="00F845EE"/>
    <w:rsid w:val="00F932CB"/>
    <w:rsid w:val="00FD52D8"/>
    <w:rsid w:val="00FE040A"/>
    <w:rsid w:val="00FE5372"/>
    <w:rsid w:val="00FE6DF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697"/>
    <w:rPr>
      <w:rFonts w:ascii="Trebuchet MS" w:hAnsi="Trebuchet MS"/>
      <w:sz w:val="24"/>
      <w:szCs w:val="24"/>
    </w:rPr>
  </w:style>
  <w:style w:type="paragraph" w:styleId="Heading1">
    <w:name w:val="heading 1"/>
    <w:basedOn w:val="Normal"/>
    <w:next w:val="Normal"/>
    <w:link w:val="Heading1Char"/>
    <w:qFormat/>
    <w:rsid w:val="00446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6697"/>
    <w:pPr>
      <w:tabs>
        <w:tab w:val="center" w:pos="4680"/>
        <w:tab w:val="right" w:pos="9360"/>
      </w:tabs>
    </w:pPr>
  </w:style>
  <w:style w:type="character" w:customStyle="1" w:styleId="HeaderChar">
    <w:name w:val="Header Char"/>
    <w:basedOn w:val="DefaultParagraphFont"/>
    <w:link w:val="Header"/>
    <w:rsid w:val="00446697"/>
    <w:rPr>
      <w:sz w:val="24"/>
      <w:szCs w:val="24"/>
    </w:rPr>
  </w:style>
  <w:style w:type="paragraph" w:styleId="Footer">
    <w:name w:val="footer"/>
    <w:basedOn w:val="Normal"/>
    <w:link w:val="FooterChar"/>
    <w:rsid w:val="00446697"/>
    <w:pPr>
      <w:tabs>
        <w:tab w:val="center" w:pos="4680"/>
        <w:tab w:val="right" w:pos="9360"/>
      </w:tabs>
    </w:pPr>
  </w:style>
  <w:style w:type="character" w:customStyle="1" w:styleId="FooterChar">
    <w:name w:val="Footer Char"/>
    <w:basedOn w:val="DefaultParagraphFont"/>
    <w:link w:val="Footer"/>
    <w:rsid w:val="00446697"/>
    <w:rPr>
      <w:sz w:val="24"/>
      <w:szCs w:val="24"/>
    </w:rPr>
  </w:style>
  <w:style w:type="paragraph" w:styleId="BalloonText">
    <w:name w:val="Balloon Text"/>
    <w:basedOn w:val="Normal"/>
    <w:link w:val="BalloonTextChar"/>
    <w:rsid w:val="00446697"/>
    <w:rPr>
      <w:rFonts w:ascii="Tahoma" w:hAnsi="Tahoma" w:cs="Tahoma"/>
      <w:sz w:val="16"/>
      <w:szCs w:val="16"/>
    </w:rPr>
  </w:style>
  <w:style w:type="character" w:customStyle="1" w:styleId="BalloonTextChar">
    <w:name w:val="Balloon Text Char"/>
    <w:basedOn w:val="DefaultParagraphFont"/>
    <w:link w:val="BalloonText"/>
    <w:rsid w:val="00446697"/>
    <w:rPr>
      <w:rFonts w:ascii="Tahoma" w:hAnsi="Tahoma" w:cs="Tahoma"/>
      <w:sz w:val="16"/>
      <w:szCs w:val="16"/>
    </w:rPr>
  </w:style>
  <w:style w:type="character" w:customStyle="1" w:styleId="Heading1Char">
    <w:name w:val="Heading 1 Char"/>
    <w:basedOn w:val="DefaultParagraphFont"/>
    <w:link w:val="Heading1"/>
    <w:rsid w:val="0044669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61515"/>
    <w:pPr>
      <w:ind w:left="720"/>
      <w:contextualSpacing/>
    </w:pPr>
  </w:style>
  <w:style w:type="character" w:styleId="Hyperlink">
    <w:name w:val="Hyperlink"/>
    <w:basedOn w:val="DefaultParagraphFont"/>
    <w:rsid w:val="00B16CAB"/>
    <w:rPr>
      <w:color w:val="0000FF" w:themeColor="hyperlink"/>
      <w:u w:val="single"/>
    </w:rPr>
  </w:style>
  <w:style w:type="table" w:styleId="TableGrid">
    <w:name w:val="Table Grid"/>
    <w:basedOn w:val="TableNormal"/>
    <w:rsid w:val="006235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rsid w:val="00AD1FFA"/>
    <w:rPr>
      <w:sz w:val="16"/>
      <w:szCs w:val="16"/>
    </w:rPr>
  </w:style>
  <w:style w:type="paragraph" w:styleId="CommentText">
    <w:name w:val="annotation text"/>
    <w:basedOn w:val="Normal"/>
    <w:link w:val="CommentTextChar"/>
    <w:rsid w:val="00AD1FFA"/>
    <w:rPr>
      <w:sz w:val="20"/>
      <w:szCs w:val="20"/>
    </w:rPr>
  </w:style>
  <w:style w:type="character" w:customStyle="1" w:styleId="CommentTextChar">
    <w:name w:val="Comment Text Char"/>
    <w:basedOn w:val="DefaultParagraphFont"/>
    <w:link w:val="CommentText"/>
    <w:rsid w:val="00AD1FFA"/>
    <w:rPr>
      <w:rFonts w:ascii="Trebuchet MS" w:hAnsi="Trebuchet MS"/>
    </w:rPr>
  </w:style>
  <w:style w:type="paragraph" w:styleId="CommentSubject">
    <w:name w:val="annotation subject"/>
    <w:basedOn w:val="CommentText"/>
    <w:next w:val="CommentText"/>
    <w:link w:val="CommentSubjectChar"/>
    <w:rsid w:val="00656530"/>
    <w:rPr>
      <w:b/>
      <w:bCs/>
    </w:rPr>
  </w:style>
  <w:style w:type="character" w:customStyle="1" w:styleId="CommentSubjectChar">
    <w:name w:val="Comment Subject Char"/>
    <w:basedOn w:val="CommentTextChar"/>
    <w:link w:val="CommentSubject"/>
    <w:rsid w:val="00656530"/>
    <w:rPr>
      <w:rFonts w:ascii="Trebuchet MS" w:hAnsi="Trebuchet M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46697"/>
    <w:rPr>
      <w:rFonts w:ascii="Trebuchet MS" w:hAnsi="Trebuchet MS"/>
      <w:sz w:val="24"/>
      <w:szCs w:val="24"/>
    </w:rPr>
  </w:style>
  <w:style w:type="paragraph" w:styleId="Nagwek1">
    <w:name w:val="heading 1"/>
    <w:basedOn w:val="Normalny"/>
    <w:next w:val="Normalny"/>
    <w:link w:val="Nagwek1Znak"/>
    <w:qFormat/>
    <w:rsid w:val="00446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446697"/>
    <w:pPr>
      <w:tabs>
        <w:tab w:val="center" w:pos="4680"/>
        <w:tab w:val="right" w:pos="9360"/>
      </w:tabs>
    </w:pPr>
  </w:style>
  <w:style w:type="character" w:customStyle="1" w:styleId="NagwekZnak">
    <w:name w:val="Nagłówek Znak"/>
    <w:basedOn w:val="Domylnaczcionkaakapitu"/>
    <w:link w:val="Nagwek"/>
    <w:rsid w:val="00446697"/>
    <w:rPr>
      <w:sz w:val="24"/>
      <w:szCs w:val="24"/>
    </w:rPr>
  </w:style>
  <w:style w:type="paragraph" w:styleId="Stopka">
    <w:name w:val="footer"/>
    <w:basedOn w:val="Normalny"/>
    <w:link w:val="StopkaZnak"/>
    <w:rsid w:val="00446697"/>
    <w:pPr>
      <w:tabs>
        <w:tab w:val="center" w:pos="4680"/>
        <w:tab w:val="right" w:pos="9360"/>
      </w:tabs>
    </w:pPr>
  </w:style>
  <w:style w:type="character" w:customStyle="1" w:styleId="StopkaZnak">
    <w:name w:val="Stopka Znak"/>
    <w:basedOn w:val="Domylnaczcionkaakapitu"/>
    <w:link w:val="Stopka"/>
    <w:rsid w:val="00446697"/>
    <w:rPr>
      <w:sz w:val="24"/>
      <w:szCs w:val="24"/>
    </w:rPr>
  </w:style>
  <w:style w:type="paragraph" w:styleId="Tekstdymka">
    <w:name w:val="Balloon Text"/>
    <w:basedOn w:val="Normalny"/>
    <w:link w:val="TekstdymkaZnak"/>
    <w:rsid w:val="00446697"/>
    <w:rPr>
      <w:rFonts w:ascii="Tahoma" w:hAnsi="Tahoma" w:cs="Tahoma"/>
      <w:sz w:val="16"/>
      <w:szCs w:val="16"/>
    </w:rPr>
  </w:style>
  <w:style w:type="character" w:customStyle="1" w:styleId="TekstdymkaZnak">
    <w:name w:val="Tekst dymka Znak"/>
    <w:basedOn w:val="Domylnaczcionkaakapitu"/>
    <w:link w:val="Tekstdymka"/>
    <w:rsid w:val="00446697"/>
    <w:rPr>
      <w:rFonts w:ascii="Tahoma" w:hAnsi="Tahoma" w:cs="Tahoma"/>
      <w:sz w:val="16"/>
      <w:szCs w:val="16"/>
    </w:rPr>
  </w:style>
  <w:style w:type="character" w:customStyle="1" w:styleId="Nagwek1Znak">
    <w:name w:val="Nagłówek 1 Znak"/>
    <w:basedOn w:val="Domylnaczcionkaakapitu"/>
    <w:link w:val="Nagwek1"/>
    <w:rsid w:val="00446697"/>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861515"/>
    <w:pPr>
      <w:ind w:left="720"/>
      <w:contextualSpacing/>
    </w:pPr>
  </w:style>
  <w:style w:type="character" w:styleId="Hipercze">
    <w:name w:val="Hyperlink"/>
    <w:basedOn w:val="Domylnaczcionkaakapitu"/>
    <w:rsid w:val="00B16CAB"/>
    <w:rPr>
      <w:color w:val="0000FF" w:themeColor="hyperlink"/>
      <w:u w:val="single"/>
    </w:rPr>
  </w:style>
  <w:style w:type="table" w:styleId="Tabela-Siatka">
    <w:name w:val="Table Grid"/>
    <w:basedOn w:val="Standardowy"/>
    <w:rsid w:val="006235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Odwoaniedokomentarza">
    <w:name w:val="annotation reference"/>
    <w:basedOn w:val="Domylnaczcionkaakapitu"/>
    <w:rsid w:val="00AD1FFA"/>
    <w:rPr>
      <w:sz w:val="16"/>
      <w:szCs w:val="16"/>
    </w:rPr>
  </w:style>
  <w:style w:type="paragraph" w:styleId="Tekstkomentarza">
    <w:name w:val="annotation text"/>
    <w:basedOn w:val="Normalny"/>
    <w:link w:val="TekstkomentarzaZnak"/>
    <w:rsid w:val="00AD1FFA"/>
    <w:rPr>
      <w:sz w:val="20"/>
      <w:szCs w:val="20"/>
    </w:rPr>
  </w:style>
  <w:style w:type="character" w:customStyle="1" w:styleId="TekstkomentarzaZnak">
    <w:name w:val="Tekst komentarza Znak"/>
    <w:basedOn w:val="Domylnaczcionkaakapitu"/>
    <w:link w:val="Tekstkomentarza"/>
    <w:rsid w:val="00AD1FFA"/>
    <w:rPr>
      <w:rFonts w:ascii="Trebuchet MS" w:hAnsi="Trebuchet MS"/>
    </w:rPr>
  </w:style>
  <w:style w:type="paragraph" w:styleId="Tematkomentarza">
    <w:name w:val="annotation subject"/>
    <w:basedOn w:val="Tekstkomentarza"/>
    <w:next w:val="Tekstkomentarza"/>
    <w:link w:val="TematkomentarzaZnak"/>
    <w:rsid w:val="00656530"/>
    <w:rPr>
      <w:b/>
      <w:bCs/>
    </w:rPr>
  </w:style>
  <w:style w:type="character" w:customStyle="1" w:styleId="TematkomentarzaZnak">
    <w:name w:val="Temat komentarza Znak"/>
    <w:basedOn w:val="TekstkomentarzaZnak"/>
    <w:link w:val="Tematkomentarza"/>
    <w:rsid w:val="00656530"/>
    <w:rPr>
      <w:rFonts w:ascii="Trebuchet MS" w:hAnsi="Trebuchet MS"/>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D2538-DFA8-427E-94A8-6EF255D3F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1748</Words>
  <Characters>9965</Characters>
  <Application>Microsoft Office Word</Application>
  <DocSecurity>0</DocSecurity>
  <Lines>83</Lines>
  <Paragraphs>23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ECN</Company>
  <LinksUpToDate>false</LinksUpToDate>
  <CharactersWithSpaces>11690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T. Vermeulen</dc:creator>
  <cp:lastModifiedBy>epopa</cp:lastModifiedBy>
  <cp:revision>17</cp:revision>
  <dcterms:created xsi:type="dcterms:W3CDTF">2014-04-14T19:42:00Z</dcterms:created>
  <dcterms:modified xsi:type="dcterms:W3CDTF">2014-04-16T19:38:00Z</dcterms:modified>
</cp:coreProperties>
</file>