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65E" w:rsidRPr="004007C4" w:rsidRDefault="00EF0317" w:rsidP="00446697">
      <w:pPr>
        <w:pStyle w:val="Nagwek1"/>
        <w:rPr>
          <w:rFonts w:ascii="Trebuchet MS" w:hAnsi="Trebuchet MS" w:cs="Trebuchet MS"/>
        </w:rPr>
      </w:pPr>
      <w:r>
        <w:rPr>
          <w:rFonts w:ascii="Trebuchet MS" w:hAnsi="Trebuchet MS" w:cs="Trebuchet MS"/>
        </w:rPr>
        <w:t>+</w:t>
      </w:r>
      <w:proofErr w:type="spellStart"/>
      <w:r w:rsidR="004A165E" w:rsidRPr="004007C4">
        <w:rPr>
          <w:rFonts w:ascii="Trebuchet MS" w:hAnsi="Trebuchet MS" w:cs="Trebuchet MS"/>
        </w:rPr>
        <w:t>InGOS</w:t>
      </w:r>
      <w:proofErr w:type="spellEnd"/>
      <w:r w:rsidR="004A165E" w:rsidRPr="004007C4">
        <w:rPr>
          <w:rFonts w:ascii="Trebuchet MS" w:hAnsi="Trebuchet MS" w:cs="Trebuchet MS"/>
        </w:rPr>
        <w:t xml:space="preserve"> – Integrated non-CO</w:t>
      </w:r>
      <w:r w:rsidR="004A165E" w:rsidRPr="004007C4">
        <w:rPr>
          <w:rFonts w:ascii="Trebuchet MS" w:hAnsi="Trebuchet MS" w:cs="Trebuchet MS"/>
          <w:vertAlign w:val="subscript"/>
        </w:rPr>
        <w:t>2</w:t>
      </w:r>
      <w:r w:rsidR="004A165E" w:rsidRPr="004007C4">
        <w:rPr>
          <w:rFonts w:ascii="Trebuchet MS" w:hAnsi="Trebuchet MS" w:cs="Trebuchet MS"/>
        </w:rPr>
        <w:t xml:space="preserve"> Observing System</w:t>
      </w:r>
    </w:p>
    <w:p w:rsidR="004A165E" w:rsidRDefault="004A165E"/>
    <w:p w:rsidR="00CD436F" w:rsidRDefault="004A165E" w:rsidP="00CD436F">
      <w:pPr>
        <w:pStyle w:val="Akapitzlist"/>
        <w:numPr>
          <w:ilvl w:val="0"/>
          <w:numId w:val="1"/>
        </w:numPr>
        <w:ind w:left="360"/>
        <w:jc w:val="both"/>
        <w:rPr>
          <w:b/>
          <w:bCs/>
        </w:rPr>
      </w:pPr>
      <w:r>
        <w:rPr>
          <w:b/>
          <w:bCs/>
        </w:rPr>
        <w:t>Project name (acronym), name and contact information of the researcher(s), duration of the project (dates, number of working days), type and name of the infrastructure requested</w:t>
      </w:r>
    </w:p>
    <w:p w:rsidR="00CD436F" w:rsidRDefault="00CD436F" w:rsidP="00CD436F">
      <w:pPr>
        <w:pStyle w:val="Akapitzlist"/>
        <w:ind w:left="360"/>
        <w:rPr>
          <w:b/>
          <w:bCs/>
        </w:rPr>
      </w:pPr>
    </w:p>
    <w:p w:rsidR="00D55C90" w:rsidRPr="00D55C90" w:rsidRDefault="004A165E" w:rsidP="006369CA">
      <w:pPr>
        <w:pStyle w:val="Akapitzlist"/>
        <w:ind w:left="0"/>
        <w:jc w:val="center"/>
        <w:rPr>
          <w:b/>
          <w:bCs/>
        </w:rPr>
      </w:pPr>
      <w:r>
        <w:t>Project name:</w:t>
      </w:r>
      <w:r w:rsidR="007D6593">
        <w:t xml:space="preserve"> </w:t>
      </w:r>
      <w:r w:rsidR="00D55C90" w:rsidRPr="00D55C90">
        <w:rPr>
          <w:b/>
          <w:bCs/>
        </w:rPr>
        <w:t>Improving methane flux characterization over an abandoned peat meadow (APE</w:t>
      </w:r>
      <w:r w:rsidR="00D55C90">
        <w:rPr>
          <w:b/>
          <w:bCs/>
        </w:rPr>
        <w:t>-CH</w:t>
      </w:r>
      <w:r w:rsidR="00D55C90" w:rsidRPr="00CD3E4C">
        <w:rPr>
          <w:b/>
          <w:bCs/>
          <w:vertAlign w:val="subscript"/>
        </w:rPr>
        <w:t>4</w:t>
      </w:r>
      <w:r w:rsidR="00D55C90">
        <w:rPr>
          <w:b/>
          <w:bCs/>
        </w:rPr>
        <w:t>)</w:t>
      </w:r>
    </w:p>
    <w:p w:rsidR="00D55C90" w:rsidRPr="00A52BCD" w:rsidRDefault="00D55C90" w:rsidP="006369CA">
      <w:pPr>
        <w:ind w:left="1800"/>
        <w:jc w:val="center"/>
      </w:pPr>
    </w:p>
    <w:tbl>
      <w:tblPr>
        <w:tblStyle w:val="Tabela-Siatka"/>
        <w:tblW w:w="10291" w:type="dxa"/>
        <w:tblLook w:val="04A0"/>
      </w:tblPr>
      <w:tblGrid>
        <w:gridCol w:w="3890"/>
        <w:gridCol w:w="1226"/>
        <w:gridCol w:w="5175"/>
      </w:tblGrid>
      <w:tr w:rsidR="00AC11CA" w:rsidTr="00B55C54">
        <w:trPr>
          <w:trHeight w:val="271"/>
        </w:trPr>
        <w:tc>
          <w:tcPr>
            <w:tcW w:w="3890" w:type="dxa"/>
          </w:tcPr>
          <w:p w:rsidR="00AC11CA" w:rsidRPr="00246E33" w:rsidRDefault="00E41440" w:rsidP="003B6858">
            <w:pPr>
              <w:rPr>
                <w:rFonts w:ascii="Arial" w:hAnsi="Arial" w:cs="Arial"/>
                <w:b/>
                <w:color w:val="000000"/>
                <w:shd w:val="clear" w:color="auto" w:fill="FFFFFF"/>
              </w:rPr>
            </w:pPr>
            <w:r w:rsidRPr="00246E33">
              <w:rPr>
                <w:rFonts w:ascii="Arial" w:hAnsi="Arial" w:cs="Arial"/>
                <w:b/>
                <w:color w:val="000000"/>
                <w:shd w:val="clear" w:color="auto" w:fill="FFFFFF"/>
              </w:rPr>
              <w:t>Researchers</w:t>
            </w:r>
          </w:p>
        </w:tc>
        <w:tc>
          <w:tcPr>
            <w:tcW w:w="1226" w:type="dxa"/>
          </w:tcPr>
          <w:p w:rsidR="00AC11CA" w:rsidRPr="00246E33" w:rsidRDefault="00246E33" w:rsidP="003B6858">
            <w:pPr>
              <w:rPr>
                <w:rFonts w:ascii="Arial" w:hAnsi="Arial" w:cs="Arial"/>
                <w:b/>
                <w:color w:val="000000"/>
                <w:shd w:val="clear" w:color="auto" w:fill="FFFFFF"/>
              </w:rPr>
            </w:pPr>
            <w:r>
              <w:rPr>
                <w:rFonts w:ascii="Arial" w:hAnsi="Arial" w:cs="Arial"/>
                <w:b/>
                <w:color w:val="000000"/>
                <w:shd w:val="clear" w:color="auto" w:fill="FFFFFF"/>
              </w:rPr>
              <w:t>P</w:t>
            </w:r>
            <w:r w:rsidR="00E41440" w:rsidRPr="00246E33">
              <w:rPr>
                <w:rFonts w:ascii="Arial" w:hAnsi="Arial" w:cs="Arial"/>
                <w:b/>
                <w:color w:val="000000"/>
                <w:shd w:val="clear" w:color="auto" w:fill="FFFFFF"/>
              </w:rPr>
              <w:t>osition</w:t>
            </w:r>
          </w:p>
        </w:tc>
        <w:tc>
          <w:tcPr>
            <w:tcW w:w="5175" w:type="dxa"/>
          </w:tcPr>
          <w:p w:rsidR="00AC11CA" w:rsidRPr="00246E33" w:rsidRDefault="00E41440" w:rsidP="003B6858">
            <w:pPr>
              <w:rPr>
                <w:rFonts w:ascii="Arial" w:hAnsi="Arial" w:cs="Arial"/>
                <w:b/>
                <w:color w:val="000000"/>
                <w:shd w:val="clear" w:color="auto" w:fill="FFFFFF"/>
              </w:rPr>
            </w:pPr>
            <w:r w:rsidRPr="00246E33">
              <w:rPr>
                <w:rFonts w:ascii="Arial" w:hAnsi="Arial" w:cs="Arial"/>
                <w:b/>
                <w:color w:val="000000"/>
                <w:shd w:val="clear" w:color="auto" w:fill="FFFFFF"/>
              </w:rPr>
              <w:t>Institute</w:t>
            </w:r>
          </w:p>
        </w:tc>
      </w:tr>
      <w:tr w:rsidR="00AC11CA" w:rsidRPr="004A25C0" w:rsidTr="00B55C54">
        <w:trPr>
          <w:trHeight w:val="815"/>
        </w:trPr>
        <w:tc>
          <w:tcPr>
            <w:tcW w:w="3890" w:type="dxa"/>
          </w:tcPr>
          <w:p w:rsidR="00AC11CA" w:rsidRPr="00246E33" w:rsidRDefault="00AC11CA" w:rsidP="00AC11CA">
            <w:pPr>
              <w:rPr>
                <w:i/>
                <w:lang w:val="it-IT"/>
              </w:rPr>
            </w:pPr>
            <w:r w:rsidRPr="00246E33">
              <w:rPr>
                <w:i/>
                <w:lang w:val="it-IT"/>
              </w:rPr>
              <w:t xml:space="preserve">Natalia Kowalska </w:t>
            </w:r>
            <w:r w:rsidRPr="00246E33">
              <w:rPr>
                <w:b/>
                <w:i/>
                <w:lang w:val="it-IT"/>
              </w:rPr>
              <w:t>(applicant)</w:t>
            </w:r>
          </w:p>
          <w:p w:rsidR="00AC11CA" w:rsidRDefault="00E41440" w:rsidP="003B6858">
            <w:pPr>
              <w:rPr>
                <w:i/>
                <w:lang w:val="pl-PL"/>
              </w:rPr>
            </w:pPr>
            <w:r w:rsidRPr="00F575FE">
              <w:rPr>
                <w:i/>
                <w:lang w:val="pl-PL"/>
              </w:rPr>
              <w:t>(</w:t>
            </w:r>
            <w:r w:rsidRPr="005B2B1F">
              <w:rPr>
                <w:i/>
                <w:lang w:val="it-IT"/>
              </w:rPr>
              <w:t>natkonieczna@gmail.com</w:t>
            </w:r>
            <w:r w:rsidRPr="00F575FE">
              <w:rPr>
                <w:i/>
                <w:lang w:val="pl-PL"/>
              </w:rPr>
              <w:t>)</w:t>
            </w:r>
          </w:p>
          <w:p w:rsidR="00A5774D" w:rsidRPr="00246E33" w:rsidRDefault="00A5774D" w:rsidP="003B6858">
            <w:pPr>
              <w:rPr>
                <w:rFonts w:ascii="Arial" w:hAnsi="Arial" w:cs="Arial"/>
                <w:i/>
                <w:color w:val="000000"/>
                <w:shd w:val="clear" w:color="auto" w:fill="FFFFFF"/>
                <w:lang w:val="it-IT"/>
              </w:rPr>
            </w:pPr>
          </w:p>
        </w:tc>
        <w:tc>
          <w:tcPr>
            <w:tcW w:w="1226" w:type="dxa"/>
          </w:tcPr>
          <w:p w:rsidR="00AC11CA" w:rsidRPr="00246E33" w:rsidRDefault="00AC11CA" w:rsidP="003B6858">
            <w:pPr>
              <w:rPr>
                <w:rFonts w:ascii="Arial" w:hAnsi="Arial" w:cs="Arial"/>
                <w:i/>
                <w:color w:val="000000"/>
                <w:shd w:val="clear" w:color="auto" w:fill="FFFFFF"/>
              </w:rPr>
            </w:pPr>
            <w:r w:rsidRPr="00246E33">
              <w:rPr>
                <w:i/>
              </w:rPr>
              <w:t>PhD student</w:t>
            </w:r>
          </w:p>
        </w:tc>
        <w:tc>
          <w:tcPr>
            <w:tcW w:w="5175" w:type="dxa"/>
          </w:tcPr>
          <w:p w:rsidR="00AC11CA" w:rsidRPr="00246E33" w:rsidRDefault="00AC11CA" w:rsidP="00B55C54">
            <w:pPr>
              <w:ind w:left="-296"/>
              <w:jc w:val="center"/>
              <w:rPr>
                <w:i/>
              </w:rPr>
            </w:pPr>
            <w:r w:rsidRPr="00246E33">
              <w:rPr>
                <w:i/>
              </w:rPr>
              <w:t>Poznan University of Life Sciences,</w:t>
            </w:r>
          </w:p>
          <w:p w:rsidR="00AC11CA" w:rsidRPr="00867F79" w:rsidRDefault="00867F79" w:rsidP="00867F79">
            <w:pPr>
              <w:ind w:left="33"/>
              <w:jc w:val="center"/>
              <w:rPr>
                <w:i/>
                <w:lang w:val="pl-PL"/>
              </w:rPr>
            </w:pPr>
            <w:r w:rsidRPr="00867F79">
              <w:rPr>
                <w:i/>
                <w:lang w:val="pl-PL"/>
              </w:rPr>
              <w:t>Wojska Polskiego</w:t>
            </w:r>
            <w:r>
              <w:rPr>
                <w:i/>
                <w:lang w:val="pl-PL"/>
              </w:rPr>
              <w:t xml:space="preserve"> 28, 60-649 </w:t>
            </w:r>
            <w:proofErr w:type="spellStart"/>
            <w:r>
              <w:rPr>
                <w:i/>
                <w:lang w:val="pl-PL"/>
              </w:rPr>
              <w:t>Poznan</w:t>
            </w:r>
            <w:proofErr w:type="spellEnd"/>
            <w:r>
              <w:rPr>
                <w:i/>
                <w:lang w:val="pl-PL"/>
              </w:rPr>
              <w:t>, Poland</w:t>
            </w:r>
          </w:p>
          <w:p w:rsidR="00867F79" w:rsidRPr="00CD3E4C" w:rsidRDefault="005B2B1F" w:rsidP="005B2B1F">
            <w:pPr>
              <w:ind w:left="33"/>
              <w:jc w:val="center"/>
              <w:rPr>
                <w:i/>
                <w:lang w:val="pl-PL"/>
              </w:rPr>
            </w:pPr>
            <w:proofErr w:type="spellStart"/>
            <w:r>
              <w:rPr>
                <w:i/>
                <w:lang w:val="pl-PL"/>
              </w:rPr>
              <w:t>Phone</w:t>
            </w:r>
            <w:proofErr w:type="spellEnd"/>
            <w:r>
              <w:rPr>
                <w:i/>
                <w:lang w:val="pl-PL"/>
              </w:rPr>
              <w:t>: 0048 666 200 207</w:t>
            </w:r>
          </w:p>
        </w:tc>
      </w:tr>
      <w:tr w:rsidR="00AC11CA" w:rsidTr="00B55C54">
        <w:trPr>
          <w:trHeight w:val="828"/>
        </w:trPr>
        <w:tc>
          <w:tcPr>
            <w:tcW w:w="3890" w:type="dxa"/>
          </w:tcPr>
          <w:p w:rsidR="00AC11CA" w:rsidRPr="00246E33" w:rsidRDefault="00AC11CA" w:rsidP="003B6858">
            <w:pPr>
              <w:rPr>
                <w:i/>
              </w:rPr>
            </w:pPr>
            <w:r w:rsidRPr="00246E33">
              <w:rPr>
                <w:i/>
              </w:rPr>
              <w:t xml:space="preserve">Luca </w:t>
            </w:r>
            <w:proofErr w:type="spellStart"/>
            <w:r w:rsidRPr="00246E33">
              <w:rPr>
                <w:i/>
              </w:rPr>
              <w:t>Belelli</w:t>
            </w:r>
            <w:proofErr w:type="spellEnd"/>
            <w:r w:rsidRPr="00246E33">
              <w:rPr>
                <w:i/>
              </w:rPr>
              <w:t xml:space="preserve"> </w:t>
            </w:r>
            <w:proofErr w:type="spellStart"/>
            <w:r w:rsidRPr="00246E33">
              <w:rPr>
                <w:i/>
              </w:rPr>
              <w:t>Marchesini</w:t>
            </w:r>
            <w:proofErr w:type="spellEnd"/>
            <w:r w:rsidRPr="00246E33">
              <w:rPr>
                <w:i/>
              </w:rPr>
              <w:t xml:space="preserve">  </w:t>
            </w:r>
          </w:p>
          <w:p w:rsidR="00E41440" w:rsidRPr="00246E33" w:rsidRDefault="00E41440" w:rsidP="00E41440">
            <w:pPr>
              <w:rPr>
                <w:rFonts w:ascii="Arial" w:hAnsi="Arial" w:cs="Arial"/>
                <w:i/>
                <w:color w:val="000000"/>
                <w:shd w:val="clear" w:color="auto" w:fill="FFFFFF"/>
              </w:rPr>
            </w:pPr>
            <w:r w:rsidRPr="00246E33">
              <w:rPr>
                <w:i/>
              </w:rPr>
              <w:t>(</w:t>
            </w:r>
            <w:r w:rsidRPr="005B2B1F">
              <w:rPr>
                <w:i/>
              </w:rPr>
              <w:t>l.belellimarchesini@vu.n</w:t>
            </w:r>
            <w:r w:rsidR="00CD3E4C">
              <w:rPr>
                <w:i/>
              </w:rPr>
              <w:t>l)</w:t>
            </w:r>
          </w:p>
          <w:p w:rsidR="00E41440" w:rsidRPr="00246E33" w:rsidRDefault="00E41440" w:rsidP="003B6858">
            <w:pPr>
              <w:rPr>
                <w:rFonts w:ascii="Arial" w:hAnsi="Arial" w:cs="Arial"/>
                <w:i/>
                <w:color w:val="000000"/>
                <w:shd w:val="clear" w:color="auto" w:fill="FFFFFF"/>
              </w:rPr>
            </w:pPr>
          </w:p>
        </w:tc>
        <w:tc>
          <w:tcPr>
            <w:tcW w:w="1226" w:type="dxa"/>
          </w:tcPr>
          <w:p w:rsidR="00AC11CA" w:rsidRPr="00246E33" w:rsidRDefault="00AC11CA" w:rsidP="006369CA">
            <w:pPr>
              <w:rPr>
                <w:rFonts w:ascii="Arial" w:hAnsi="Arial" w:cs="Arial"/>
                <w:i/>
                <w:color w:val="000000"/>
                <w:shd w:val="clear" w:color="auto" w:fill="FFFFFF"/>
              </w:rPr>
            </w:pPr>
            <w:proofErr w:type="spellStart"/>
            <w:r w:rsidRPr="00246E33">
              <w:rPr>
                <w:i/>
              </w:rPr>
              <w:t>Post</w:t>
            </w:r>
            <w:r w:rsidR="006369CA">
              <w:rPr>
                <w:i/>
              </w:rPr>
              <w:t>doc</w:t>
            </w:r>
            <w:proofErr w:type="spellEnd"/>
          </w:p>
        </w:tc>
        <w:tc>
          <w:tcPr>
            <w:tcW w:w="5175" w:type="dxa"/>
          </w:tcPr>
          <w:p w:rsidR="00E41440" w:rsidRPr="006369CA" w:rsidRDefault="00E41440" w:rsidP="006369CA">
            <w:pPr>
              <w:ind w:left="-296"/>
              <w:jc w:val="center"/>
              <w:rPr>
                <w:i/>
              </w:rPr>
            </w:pPr>
            <w:proofErr w:type="spellStart"/>
            <w:r w:rsidRPr="006369CA">
              <w:rPr>
                <w:i/>
              </w:rPr>
              <w:t>Vrije</w:t>
            </w:r>
            <w:proofErr w:type="spellEnd"/>
            <w:r w:rsidRPr="006369CA">
              <w:rPr>
                <w:i/>
              </w:rPr>
              <w:t xml:space="preserve"> </w:t>
            </w:r>
            <w:proofErr w:type="spellStart"/>
            <w:r w:rsidRPr="006369CA">
              <w:rPr>
                <w:i/>
              </w:rPr>
              <w:t>Universiteit</w:t>
            </w:r>
            <w:proofErr w:type="spellEnd"/>
            <w:r w:rsidRPr="006369CA">
              <w:rPr>
                <w:i/>
              </w:rPr>
              <w:t xml:space="preserve"> – Amsterdam,</w:t>
            </w:r>
          </w:p>
          <w:p w:rsidR="00E41440" w:rsidRPr="006369CA" w:rsidRDefault="00E41440" w:rsidP="006369CA">
            <w:pPr>
              <w:ind w:left="-296"/>
              <w:jc w:val="center"/>
              <w:rPr>
                <w:i/>
              </w:rPr>
            </w:pPr>
            <w:r w:rsidRPr="006369CA">
              <w:rPr>
                <w:i/>
              </w:rPr>
              <w:t xml:space="preserve">De </w:t>
            </w:r>
            <w:proofErr w:type="spellStart"/>
            <w:r w:rsidRPr="006369CA">
              <w:rPr>
                <w:i/>
              </w:rPr>
              <w:t>Boelelaan</w:t>
            </w:r>
            <w:proofErr w:type="spellEnd"/>
            <w:r w:rsidRPr="006369CA">
              <w:rPr>
                <w:i/>
              </w:rPr>
              <w:t xml:space="preserve"> 1085, 1081 HV,</w:t>
            </w:r>
          </w:p>
          <w:p w:rsidR="00E41440" w:rsidRPr="00246E33" w:rsidRDefault="00E41440" w:rsidP="006369CA">
            <w:pPr>
              <w:ind w:left="-296"/>
              <w:jc w:val="center"/>
              <w:rPr>
                <w:rFonts w:ascii="Arial" w:hAnsi="Arial" w:cs="Arial"/>
                <w:i/>
                <w:color w:val="000000"/>
                <w:shd w:val="clear" w:color="auto" w:fill="FFFFFF"/>
              </w:rPr>
            </w:pPr>
            <w:r w:rsidRPr="006369CA">
              <w:rPr>
                <w:i/>
              </w:rPr>
              <w:t>Amsterdam, The Netherlands</w:t>
            </w:r>
          </w:p>
        </w:tc>
      </w:tr>
      <w:tr w:rsidR="00E41440" w:rsidTr="00B55C54">
        <w:trPr>
          <w:trHeight w:val="815"/>
        </w:trPr>
        <w:tc>
          <w:tcPr>
            <w:tcW w:w="3890" w:type="dxa"/>
          </w:tcPr>
          <w:p w:rsidR="00E41440" w:rsidRPr="00246E33" w:rsidRDefault="00E41440" w:rsidP="003B6858">
            <w:pPr>
              <w:rPr>
                <w:i/>
                <w:lang w:val="nl-NL"/>
              </w:rPr>
            </w:pPr>
            <w:r w:rsidRPr="00246E33">
              <w:rPr>
                <w:i/>
                <w:lang w:val="nl-NL"/>
              </w:rPr>
              <w:t>Ko van Huissteden</w:t>
            </w:r>
          </w:p>
          <w:p w:rsidR="00E41440" w:rsidRPr="00246E33" w:rsidRDefault="00E41440" w:rsidP="003B6858">
            <w:pPr>
              <w:rPr>
                <w:i/>
                <w:lang w:val="nl-NL"/>
              </w:rPr>
            </w:pPr>
            <w:r w:rsidRPr="00246E33">
              <w:rPr>
                <w:i/>
                <w:lang w:val="nl-NL"/>
              </w:rPr>
              <w:t>(j.van.huissteden@vu.nl)</w:t>
            </w:r>
          </w:p>
        </w:tc>
        <w:tc>
          <w:tcPr>
            <w:tcW w:w="1226" w:type="dxa"/>
          </w:tcPr>
          <w:p w:rsidR="00E41440" w:rsidRPr="00246E33" w:rsidRDefault="00E41440" w:rsidP="003B6858">
            <w:pPr>
              <w:rPr>
                <w:i/>
              </w:rPr>
            </w:pPr>
            <w:r w:rsidRPr="00246E33">
              <w:rPr>
                <w:i/>
                <w:lang w:val="nl-NL"/>
              </w:rPr>
              <w:t>Associate Professor</w:t>
            </w:r>
          </w:p>
        </w:tc>
        <w:tc>
          <w:tcPr>
            <w:tcW w:w="5175" w:type="dxa"/>
          </w:tcPr>
          <w:p w:rsidR="00E41440" w:rsidRPr="006369CA" w:rsidRDefault="00E41440" w:rsidP="006369CA">
            <w:pPr>
              <w:ind w:left="-296"/>
              <w:jc w:val="center"/>
              <w:rPr>
                <w:i/>
              </w:rPr>
            </w:pPr>
            <w:proofErr w:type="spellStart"/>
            <w:r w:rsidRPr="006369CA">
              <w:rPr>
                <w:i/>
              </w:rPr>
              <w:t>Vrije</w:t>
            </w:r>
            <w:proofErr w:type="spellEnd"/>
            <w:r w:rsidRPr="006369CA">
              <w:rPr>
                <w:i/>
              </w:rPr>
              <w:t xml:space="preserve"> </w:t>
            </w:r>
            <w:proofErr w:type="spellStart"/>
            <w:r w:rsidRPr="006369CA">
              <w:rPr>
                <w:i/>
              </w:rPr>
              <w:t>Universiteit</w:t>
            </w:r>
            <w:proofErr w:type="spellEnd"/>
            <w:r w:rsidRPr="006369CA">
              <w:rPr>
                <w:i/>
              </w:rPr>
              <w:t xml:space="preserve"> – Amsterdam,</w:t>
            </w:r>
          </w:p>
          <w:p w:rsidR="00E41440" w:rsidRPr="006369CA" w:rsidRDefault="00E41440" w:rsidP="006369CA">
            <w:pPr>
              <w:ind w:left="-296"/>
              <w:jc w:val="center"/>
              <w:rPr>
                <w:i/>
              </w:rPr>
            </w:pPr>
            <w:r w:rsidRPr="006369CA">
              <w:rPr>
                <w:i/>
              </w:rPr>
              <w:t xml:space="preserve">De </w:t>
            </w:r>
            <w:proofErr w:type="spellStart"/>
            <w:r w:rsidRPr="006369CA">
              <w:rPr>
                <w:i/>
              </w:rPr>
              <w:t>Boelelaan</w:t>
            </w:r>
            <w:proofErr w:type="spellEnd"/>
            <w:r w:rsidRPr="006369CA">
              <w:rPr>
                <w:i/>
              </w:rPr>
              <w:t xml:space="preserve"> 1085, 1081 HV,</w:t>
            </w:r>
          </w:p>
          <w:p w:rsidR="00E41440" w:rsidRPr="00246E33" w:rsidRDefault="00E41440" w:rsidP="006369CA">
            <w:pPr>
              <w:ind w:left="-296"/>
              <w:jc w:val="center"/>
              <w:rPr>
                <w:rFonts w:ascii="Arial" w:hAnsi="Arial" w:cs="Arial"/>
                <w:i/>
                <w:color w:val="000000"/>
                <w:shd w:val="clear" w:color="auto" w:fill="FFFFFF"/>
              </w:rPr>
            </w:pPr>
            <w:r w:rsidRPr="006369CA">
              <w:rPr>
                <w:i/>
              </w:rPr>
              <w:t>Amsterdam, The Netherlands</w:t>
            </w:r>
          </w:p>
        </w:tc>
      </w:tr>
    </w:tbl>
    <w:p w:rsidR="00FF08F5" w:rsidRPr="005B20FA" w:rsidRDefault="00FF08F5" w:rsidP="00FF08F5"/>
    <w:p w:rsidR="004A165E" w:rsidRDefault="00D55C90" w:rsidP="00A52BCD">
      <w:r>
        <w:t xml:space="preserve">Number of working days at the site: </w:t>
      </w:r>
      <w:r w:rsidR="00FF08F5">
        <w:t>July</w:t>
      </w:r>
      <w:r w:rsidR="00E66EC1">
        <w:t xml:space="preserve"> </w:t>
      </w:r>
      <w:r w:rsidR="00FF08F5">
        <w:t>2</w:t>
      </w:r>
      <w:r w:rsidR="00E66EC1">
        <w:t>1</w:t>
      </w:r>
      <w:r w:rsidR="00CE3689">
        <w:t>-</w:t>
      </w:r>
      <w:r w:rsidR="00FF08F5">
        <w:t>3</w:t>
      </w:r>
      <w:r w:rsidR="00CE3689">
        <w:t>0</w:t>
      </w:r>
      <w:r w:rsidR="004A165E">
        <w:t xml:space="preserve"> </w:t>
      </w:r>
      <w:r w:rsidR="00E66EC1">
        <w:t>2014</w:t>
      </w:r>
      <w:r w:rsidR="004A165E">
        <w:t xml:space="preserve"> </w:t>
      </w:r>
      <w:r w:rsidR="00CE3689">
        <w:t>(10 days)</w:t>
      </w:r>
    </w:p>
    <w:p w:rsidR="009675A3" w:rsidRDefault="004A165E" w:rsidP="00CE3689">
      <w:r>
        <w:t>Infrastructure:</w:t>
      </w:r>
      <w:r w:rsidR="009675A3" w:rsidRPr="009675A3">
        <w:t xml:space="preserve"> </w:t>
      </w:r>
      <w:r w:rsidR="00CE3689">
        <w:t xml:space="preserve">Access to the site of </w:t>
      </w:r>
      <w:r w:rsidR="00215DDC">
        <w:t xml:space="preserve"> </w:t>
      </w:r>
      <w:proofErr w:type="spellStart"/>
      <w:r w:rsidR="00215DDC">
        <w:t>Horstermeer</w:t>
      </w:r>
      <w:proofErr w:type="spellEnd"/>
      <w:r w:rsidR="00215DDC">
        <w:t xml:space="preserve"> </w:t>
      </w:r>
      <w:r w:rsidR="00CE3689">
        <w:t xml:space="preserve">(TNA2), </w:t>
      </w:r>
      <w:r w:rsidR="00215DDC" w:rsidRPr="009675A3">
        <w:t>Netherlands</w:t>
      </w:r>
      <w:r w:rsidR="00215DDC">
        <w:t>.</w:t>
      </w:r>
    </w:p>
    <w:p w:rsidR="004A165E" w:rsidRPr="00A52BCD" w:rsidRDefault="004A165E" w:rsidP="00A52BCD">
      <w:pPr>
        <w:ind w:left="1440"/>
      </w:pPr>
    </w:p>
    <w:p w:rsidR="004A165E" w:rsidRDefault="004A165E" w:rsidP="00F20757">
      <w:pPr>
        <w:pStyle w:val="Akapitzlist"/>
        <w:numPr>
          <w:ilvl w:val="0"/>
          <w:numId w:val="1"/>
        </w:numPr>
        <w:ind w:left="360"/>
        <w:rPr>
          <w:b/>
          <w:bCs/>
        </w:rPr>
      </w:pPr>
      <w:r>
        <w:rPr>
          <w:b/>
          <w:bCs/>
        </w:rPr>
        <w:t>Background</w:t>
      </w:r>
    </w:p>
    <w:p w:rsidR="005C017F" w:rsidRDefault="005C017F" w:rsidP="005C017F">
      <w:pPr>
        <w:pStyle w:val="Akapitzlist"/>
        <w:ind w:left="360"/>
        <w:rPr>
          <w:b/>
          <w:bCs/>
        </w:rPr>
      </w:pPr>
    </w:p>
    <w:p w:rsidR="00D71C64" w:rsidRDefault="004A165E" w:rsidP="00A451D4">
      <w:pPr>
        <w:pStyle w:val="Akapitzlist"/>
        <w:numPr>
          <w:ilvl w:val="1"/>
          <w:numId w:val="11"/>
        </w:numPr>
        <w:ind w:left="0" w:firstLine="0"/>
      </w:pPr>
      <w:r w:rsidRPr="00F20757">
        <w:t>Significance of the researc</w:t>
      </w:r>
      <w:r w:rsidR="00A451D4">
        <w:t>h</w:t>
      </w:r>
    </w:p>
    <w:p w:rsidR="00A451D4" w:rsidRDefault="00A451D4" w:rsidP="00A451D4">
      <w:pPr>
        <w:pStyle w:val="Akapitzlist"/>
        <w:ind w:left="1440"/>
      </w:pPr>
    </w:p>
    <w:p w:rsidR="006E527C" w:rsidRDefault="001E5FE4" w:rsidP="005C017F">
      <w:pPr>
        <w:pStyle w:val="Akapitzlist"/>
        <w:ind w:left="0"/>
        <w:jc w:val="both"/>
      </w:pPr>
      <w:r>
        <w:t xml:space="preserve">Global mean surface temperature </w:t>
      </w:r>
      <w:r w:rsidR="00BE39A2">
        <w:t>has</w:t>
      </w:r>
      <w:r>
        <w:t xml:space="preserve"> </w:t>
      </w:r>
      <w:r w:rsidR="00C73B56">
        <w:t xml:space="preserve">risen </w:t>
      </w:r>
      <w:r w:rsidR="00BE39A2">
        <w:t xml:space="preserve"> of</w:t>
      </w:r>
      <w:r>
        <w:t xml:space="preserve"> 0.74</w:t>
      </w:r>
      <w:r w:rsidR="00BE39A2">
        <w:t>±0.18</w:t>
      </w:r>
      <w:r>
        <w:rPr>
          <w:rFonts w:ascii="Times New Roman" w:hAnsi="Times New Roman" w:cs="Times New Roman"/>
        </w:rPr>
        <w:t>º</w:t>
      </w:r>
      <w:r>
        <w:t xml:space="preserve">C over the past </w:t>
      </w:r>
      <w:r w:rsidR="008436AC">
        <w:t>century</w:t>
      </w:r>
      <w:r>
        <w:t xml:space="preserve"> (Le </w:t>
      </w:r>
      <w:proofErr w:type="spellStart"/>
      <w:r>
        <w:t>Treut</w:t>
      </w:r>
      <w:proofErr w:type="spellEnd"/>
      <w:r>
        <w:t xml:space="preserve"> et al., 20</w:t>
      </w:r>
      <w:r w:rsidR="00745110">
        <w:t>07</w:t>
      </w:r>
      <w:r>
        <w:t>)</w:t>
      </w:r>
      <w:r w:rsidR="008436AC">
        <w:t xml:space="preserve"> </w:t>
      </w:r>
      <w:r w:rsidR="00827362">
        <w:t>primarily due to th</w:t>
      </w:r>
      <w:r w:rsidR="00C73B56">
        <w:t>e</w:t>
      </w:r>
      <w:r w:rsidR="008436AC" w:rsidRPr="008436AC">
        <w:t xml:space="preserve"> </w:t>
      </w:r>
      <w:r w:rsidR="00C73B56">
        <w:t xml:space="preserve">increase in </w:t>
      </w:r>
      <w:r w:rsidR="008436AC" w:rsidRPr="008436AC">
        <w:t>greenhouse gas</w:t>
      </w:r>
      <w:r w:rsidR="00D66864">
        <w:t xml:space="preserve"> (GHG)</w:t>
      </w:r>
      <w:r w:rsidR="008436AC" w:rsidRPr="008436AC">
        <w:t xml:space="preserve"> </w:t>
      </w:r>
      <w:r w:rsidR="00827362">
        <w:t xml:space="preserve">atmospheric </w:t>
      </w:r>
      <w:r w:rsidR="008436AC" w:rsidRPr="008436AC">
        <w:t>concentrations</w:t>
      </w:r>
      <w:r w:rsidR="00AC5CD1" w:rsidRPr="00CD4E8F">
        <w:t xml:space="preserve"> </w:t>
      </w:r>
      <w:r w:rsidR="00C73B56">
        <w:t xml:space="preserve">associated to fossil fuel emissions and in minor part </w:t>
      </w:r>
      <w:r w:rsidR="004C5DDB">
        <w:t xml:space="preserve">also </w:t>
      </w:r>
      <w:r w:rsidR="00AC5CD1">
        <w:t>c</w:t>
      </w:r>
      <w:r w:rsidR="00FD5672" w:rsidRPr="00CD4E8F">
        <w:t xml:space="preserve">aused </w:t>
      </w:r>
      <w:r w:rsidR="00C73B56">
        <w:t xml:space="preserve">by  </w:t>
      </w:r>
      <w:r w:rsidR="004C5DDB">
        <w:t xml:space="preserve">other </w:t>
      </w:r>
      <w:r w:rsidR="00FD5672" w:rsidRPr="00CD4E8F">
        <w:t xml:space="preserve">human activities </w:t>
      </w:r>
      <w:r w:rsidR="00C73B56">
        <w:t>which include land management (</w:t>
      </w:r>
      <w:r w:rsidR="00FD5672" w:rsidRPr="00CD4E8F">
        <w:t>i.e.:</w:t>
      </w:r>
      <w:r w:rsidR="00453232" w:rsidRPr="00453232">
        <w:t xml:space="preserve"> </w:t>
      </w:r>
      <w:r w:rsidR="00453232">
        <w:t>agriculture,</w:t>
      </w:r>
      <w:r w:rsidR="00FD5672" w:rsidRPr="00CD4E8F">
        <w:t xml:space="preserve"> biomass bur</w:t>
      </w:r>
      <w:r w:rsidR="00C73B56">
        <w:t>ning,</w:t>
      </w:r>
      <w:r w:rsidR="00816C19">
        <w:t>) (Forster et. al., 2007).</w:t>
      </w:r>
      <w:r w:rsidR="00D66864">
        <w:t xml:space="preserve"> Wetlands play an important role in the exchanges of GHGs globally as </w:t>
      </w:r>
      <w:r w:rsidR="00F42436">
        <w:t xml:space="preserve">their anaerobic (water-logged) soil conditions favor the </w:t>
      </w:r>
      <w:r w:rsidR="00D66864">
        <w:t xml:space="preserve"> </w:t>
      </w:r>
      <w:r w:rsidR="00F42436">
        <w:t xml:space="preserve">accumulation of </w:t>
      </w:r>
      <w:r w:rsidR="00D66864">
        <w:t xml:space="preserve"> carbon </w:t>
      </w:r>
      <w:r w:rsidR="00F42436">
        <w:t>by</w:t>
      </w:r>
      <w:r w:rsidR="00D66864">
        <w:t xml:space="preserve"> slow</w:t>
      </w:r>
      <w:r w:rsidR="00F42436">
        <w:t>ing</w:t>
      </w:r>
      <w:r w:rsidR="00D66864">
        <w:t xml:space="preserve"> </w:t>
      </w:r>
      <w:r w:rsidR="00F42436">
        <w:t xml:space="preserve">the </w:t>
      </w:r>
      <w:r w:rsidR="00D66864">
        <w:t>rates of decomposition (</w:t>
      </w:r>
      <w:r w:rsidR="00F42436">
        <w:t>wetlands are estimated to store</w:t>
      </w:r>
      <w:r w:rsidR="00D66864">
        <w:t xml:space="preserve"> 30% of the terrestrial soil C</w:t>
      </w:r>
      <w:r w:rsidR="00F42436">
        <w:t>) yet in contrast they result in the production of methane (CH</w:t>
      </w:r>
      <w:r w:rsidR="00F42436" w:rsidRPr="00CD3E4C">
        <w:rPr>
          <w:vertAlign w:val="subscript"/>
        </w:rPr>
        <w:t>4</w:t>
      </w:r>
      <w:r w:rsidR="00F42436">
        <w:t xml:space="preserve">) making </w:t>
      </w:r>
      <w:r w:rsidR="00F42436" w:rsidRPr="00F42436">
        <w:t xml:space="preserve"> wetl</w:t>
      </w:r>
      <w:r w:rsidR="00F42436">
        <w:t xml:space="preserve">ands </w:t>
      </w:r>
      <w:r w:rsidR="00F42436" w:rsidRPr="00F42436">
        <w:t>responsible for 15% to 40% of current global CH4</w:t>
      </w:r>
      <w:r w:rsidR="00F42436">
        <w:t xml:space="preserve"> </w:t>
      </w:r>
      <w:r w:rsidR="00F42436" w:rsidRPr="00F42436">
        <w:t>emissions (Denman et al., 2007)</w:t>
      </w:r>
      <w:r w:rsidR="00F42436">
        <w:t xml:space="preserve">. </w:t>
      </w:r>
      <w:r w:rsidR="006E527C">
        <w:t xml:space="preserve">The GHG budget of wetlands can thus be significantly altered by various management practices, in particular by artificially lowering or rising the water table, the latter being applied in areas subject to re-naturalization as in the case of the </w:t>
      </w:r>
      <w:proofErr w:type="spellStart"/>
      <w:r w:rsidR="006E527C">
        <w:t>Horstermeer</w:t>
      </w:r>
      <w:proofErr w:type="spellEnd"/>
      <w:r w:rsidR="006E527C">
        <w:t xml:space="preserve"> experimental site. </w:t>
      </w:r>
      <w:r w:rsidR="005108DE">
        <w:t xml:space="preserve">Considering that about 50% of European </w:t>
      </w:r>
      <w:proofErr w:type="spellStart"/>
      <w:r w:rsidR="005108DE">
        <w:t>peatlands</w:t>
      </w:r>
      <w:proofErr w:type="spellEnd"/>
      <w:r w:rsidR="005108DE">
        <w:t xml:space="preserve"> are managed and contribute to substantial fractions (</w:t>
      </w:r>
      <w:r w:rsidR="005C017F">
        <w:t xml:space="preserve"> e.g. </w:t>
      </w:r>
      <w:r w:rsidR="005108DE" w:rsidRPr="004E1895">
        <w:t>2.3</w:t>
      </w:r>
      <w:r w:rsidR="005108DE">
        <w:t>-</w:t>
      </w:r>
      <w:r w:rsidR="005108DE" w:rsidRPr="004E1895">
        <w:t>4.5%</w:t>
      </w:r>
      <w:r w:rsidR="005108DE">
        <w:t xml:space="preserve"> in Germany)</w:t>
      </w:r>
      <w:r w:rsidR="005108DE" w:rsidRPr="004E1895">
        <w:t xml:space="preserve"> of total emissions </w:t>
      </w:r>
      <w:r w:rsidR="005108DE">
        <w:t>(</w:t>
      </w:r>
      <w:proofErr w:type="spellStart"/>
      <w:r w:rsidR="005108DE">
        <w:t>Drösler</w:t>
      </w:r>
      <w:proofErr w:type="spellEnd"/>
      <w:r w:rsidR="005108DE">
        <w:t xml:space="preserve"> et.al., 2008), r</w:t>
      </w:r>
      <w:r w:rsidR="006E527C">
        <w:t xml:space="preserve">esearch is needed to </w:t>
      </w:r>
      <w:r w:rsidR="00970B2E">
        <w:t xml:space="preserve">better </w:t>
      </w:r>
      <w:r w:rsidR="005108DE">
        <w:lastRenderedPageBreak/>
        <w:t>evaluate</w:t>
      </w:r>
      <w:r w:rsidR="00970B2E">
        <w:t xml:space="preserve"> </w:t>
      </w:r>
      <w:r w:rsidR="005108DE">
        <w:t xml:space="preserve">the </w:t>
      </w:r>
      <w:r w:rsidR="005C017F">
        <w:t xml:space="preserve">mid-long term </w:t>
      </w:r>
      <w:r w:rsidR="005108DE">
        <w:t xml:space="preserve">effect of </w:t>
      </w:r>
      <w:r w:rsidR="005C017F">
        <w:t xml:space="preserve">the re-naturalization of </w:t>
      </w:r>
      <w:r w:rsidR="005108DE">
        <w:t>temperate wetland ecosystems</w:t>
      </w:r>
      <w:r w:rsidR="005C017F">
        <w:t xml:space="preserve"> </w:t>
      </w:r>
      <w:r w:rsidR="005108DE">
        <w:t xml:space="preserve">on GHG </w:t>
      </w:r>
      <w:r w:rsidR="005C017F">
        <w:t>land-atmosphere fluxes in a context of climate warming.</w:t>
      </w:r>
      <w:r w:rsidR="005108DE">
        <w:t xml:space="preserve"> </w:t>
      </w:r>
    </w:p>
    <w:p w:rsidR="00DE28FA" w:rsidRDefault="00DE28FA" w:rsidP="009D484B">
      <w:pPr>
        <w:pStyle w:val="Akapitzlist"/>
        <w:ind w:left="1080"/>
      </w:pPr>
    </w:p>
    <w:p w:rsidR="004A165E" w:rsidRDefault="004A165E" w:rsidP="00D71C64">
      <w:pPr>
        <w:pStyle w:val="Akapitzlist"/>
        <w:numPr>
          <w:ilvl w:val="1"/>
          <w:numId w:val="11"/>
        </w:numPr>
        <w:ind w:left="0" w:firstLine="0"/>
      </w:pPr>
      <w:r w:rsidRPr="00F20757">
        <w:t>Previous research relevant to the topic and how the proposed project links to this</w:t>
      </w:r>
    </w:p>
    <w:p w:rsidR="00DB27EE" w:rsidRDefault="00DB27EE" w:rsidP="00DE28FA">
      <w:pPr>
        <w:pStyle w:val="Akapitzlist"/>
        <w:jc w:val="both"/>
      </w:pPr>
    </w:p>
    <w:p w:rsidR="00DE28FA" w:rsidRPr="004808B7" w:rsidRDefault="00CC393B" w:rsidP="00847BBE">
      <w:pPr>
        <w:pStyle w:val="Akapitzlist"/>
        <w:ind w:left="0"/>
        <w:jc w:val="both"/>
      </w:pPr>
      <w:r>
        <w:t>I</w:t>
      </w:r>
      <w:r w:rsidR="00DB27EE">
        <w:t xml:space="preserve">ntensive </w:t>
      </w:r>
      <w:r>
        <w:t>field</w:t>
      </w:r>
      <w:r w:rsidR="00DB27EE">
        <w:t xml:space="preserve"> campaigns  targeting the GHG budget of the </w:t>
      </w:r>
      <w:proofErr w:type="spellStart"/>
      <w:r w:rsidR="00DB27EE">
        <w:t>Horstermeer</w:t>
      </w:r>
      <w:proofErr w:type="spellEnd"/>
      <w:r w:rsidR="00DB27EE">
        <w:t xml:space="preserve"> peat-meadow by using both micrometeorological</w:t>
      </w:r>
      <w:r w:rsidR="00DE28FA">
        <w:t xml:space="preserve"> and chamber </w:t>
      </w:r>
      <w:r w:rsidR="00DB27EE">
        <w:t>based method, date back to the period 2005-2006</w:t>
      </w:r>
      <w:r>
        <w:t xml:space="preserve"> and demonstrated the</w:t>
      </w:r>
      <w:r w:rsidR="00DE28FA">
        <w:t xml:space="preserve"> high spatial variabi</w:t>
      </w:r>
      <w:r w:rsidR="00FC68DC">
        <w:t>lity of CH</w:t>
      </w:r>
      <w:r w:rsidR="00FC68DC" w:rsidRPr="00CD3E4C">
        <w:rPr>
          <w:vertAlign w:val="subscript"/>
        </w:rPr>
        <w:t>4</w:t>
      </w:r>
      <w:r w:rsidR="00FC68DC">
        <w:t xml:space="preserve"> effluxes (</w:t>
      </w:r>
      <w:proofErr w:type="spellStart"/>
      <w:r w:rsidR="00FC68DC">
        <w:t>Hendriks</w:t>
      </w:r>
      <w:proofErr w:type="spellEnd"/>
      <w:r w:rsidR="00FC68DC">
        <w:t xml:space="preserve">, </w:t>
      </w:r>
      <w:r w:rsidR="00DE28FA">
        <w:t>20</w:t>
      </w:r>
      <w:r w:rsidR="006369CA">
        <w:t>09</w:t>
      </w:r>
      <w:r w:rsidR="00DE28FA">
        <w:t>).</w:t>
      </w:r>
      <w:r w:rsidR="00A36BB4">
        <w:t xml:space="preserve"> The project builds </w:t>
      </w:r>
      <w:r w:rsidR="00661BC1">
        <w:t xml:space="preserve">fully </w:t>
      </w:r>
      <w:r w:rsidR="00A36BB4">
        <w:t>on previous results</w:t>
      </w:r>
      <w:r w:rsidR="00661BC1">
        <w:t xml:space="preserve"> to be used as a reference to test</w:t>
      </w:r>
      <w:r w:rsidR="00A36BB4">
        <w:t xml:space="preserve"> whether changes in vegetation cover distribution over time have significantly influenced GHG flux rates at ecosystem sca</w:t>
      </w:r>
      <w:r w:rsidR="00661BC1">
        <w:t>le. At the same time</w:t>
      </w:r>
      <w:r w:rsidR="00A36BB4">
        <w:t xml:space="preserve"> </w:t>
      </w:r>
      <w:r w:rsidR="00661BC1">
        <w:t>it enhances</w:t>
      </w:r>
      <w:r w:rsidR="00A36BB4">
        <w:t xml:space="preserve"> the temporal resolution of flux measurements at plot scale,</w:t>
      </w:r>
      <w:r w:rsidR="00161201">
        <w:t xml:space="preserve"> it</w:t>
      </w:r>
      <w:r w:rsidR="00A36BB4">
        <w:t xml:space="preserve"> </w:t>
      </w:r>
      <w:r w:rsidR="00661BC1">
        <w:t xml:space="preserve">tries to individuate methane emission hotspots previously overlooked and to </w:t>
      </w:r>
      <w:r w:rsidR="00161201">
        <w:t xml:space="preserve">better characterize the </w:t>
      </w:r>
      <w:r w:rsidR="00BC64C0">
        <w:t xml:space="preserve">GHG fluxes from </w:t>
      </w:r>
      <w:r w:rsidR="00161201">
        <w:t xml:space="preserve">ditches. A comparative test of gas analyzers used in the </w:t>
      </w:r>
      <w:r w:rsidR="001951F8">
        <w:t>old and new</w:t>
      </w:r>
      <w:r w:rsidR="00161201">
        <w:t xml:space="preserve"> campaigns is planned </w:t>
      </w:r>
      <w:r w:rsidR="001951F8">
        <w:t>in order to account for instrument related biases.</w:t>
      </w:r>
    </w:p>
    <w:p w:rsidR="00DE28FA" w:rsidRDefault="00DE28FA" w:rsidP="00DE28FA"/>
    <w:p w:rsidR="00650E5B" w:rsidRDefault="00984DA0" w:rsidP="00984DA0">
      <w:r>
        <w:t xml:space="preserve">c. </w:t>
      </w:r>
      <w:r>
        <w:tab/>
      </w:r>
      <w:r w:rsidRPr="00F20757">
        <w:t>Li</w:t>
      </w:r>
      <w:r>
        <w:t>nks with current research of the applicant</w:t>
      </w:r>
    </w:p>
    <w:p w:rsidR="00984DA0" w:rsidRPr="00984DA0" w:rsidRDefault="00984DA0" w:rsidP="00984DA0"/>
    <w:p w:rsidR="001D7592" w:rsidRDefault="00574DAA" w:rsidP="00D71C64">
      <w:pPr>
        <w:jc w:val="both"/>
      </w:pPr>
      <w:r>
        <w:tab/>
      </w:r>
      <w:r w:rsidR="001D7592">
        <w:t xml:space="preserve">The </w:t>
      </w:r>
      <w:r w:rsidR="001E6040">
        <w:t xml:space="preserve">research of the </w:t>
      </w:r>
      <w:r w:rsidR="001D7592">
        <w:t xml:space="preserve">applicant has </w:t>
      </w:r>
      <w:r w:rsidR="001E6040">
        <w:t>been so far focused</w:t>
      </w:r>
      <w:r w:rsidR="001D7592">
        <w:t xml:space="preserve"> on wetlands ecosystems in</w:t>
      </w:r>
      <w:r w:rsidR="001E6040">
        <w:t xml:space="preserve"> western</w:t>
      </w:r>
      <w:r w:rsidR="001D7592">
        <w:t xml:space="preserve"> Poland</w:t>
      </w:r>
      <w:r w:rsidR="001E6040">
        <w:t xml:space="preserve"> (site of </w:t>
      </w:r>
      <w:proofErr w:type="spellStart"/>
      <w:r w:rsidR="001E6040">
        <w:t>Rzecin</w:t>
      </w:r>
      <w:proofErr w:type="spellEnd"/>
      <w:r w:rsidR="001E6040">
        <w:t>):</w:t>
      </w:r>
      <w:r w:rsidR="001D7592">
        <w:t xml:space="preserve"> </w:t>
      </w:r>
      <w:r w:rsidR="001E6040">
        <w:t>f</w:t>
      </w:r>
      <w:r w:rsidR="001D7592">
        <w:t xml:space="preserve">irst on the </w:t>
      </w:r>
      <w:r w:rsidR="001E6040">
        <w:t xml:space="preserve">quantification of </w:t>
      </w:r>
      <w:r w:rsidR="001D7592">
        <w:t>CO</w:t>
      </w:r>
      <w:r w:rsidR="001D7592" w:rsidRPr="00CD3E4C">
        <w:rPr>
          <w:vertAlign w:val="subscript"/>
        </w:rPr>
        <w:t>2</w:t>
      </w:r>
      <w:r w:rsidR="001D7592">
        <w:t xml:space="preserve"> uptake of sedge communities by chambers measurements (</w:t>
      </w:r>
      <w:proofErr w:type="spellStart"/>
      <w:r w:rsidR="001D7592">
        <w:t>Chojnicki</w:t>
      </w:r>
      <w:proofErr w:type="spellEnd"/>
      <w:r w:rsidR="001D7592">
        <w:t xml:space="preserve"> et al. 2012), then </w:t>
      </w:r>
      <w:r w:rsidR="001E6040">
        <w:t>on monitoring the temporal variability of CH</w:t>
      </w:r>
      <w:r w:rsidR="001E6040" w:rsidRPr="00CD3E4C">
        <w:rPr>
          <w:vertAlign w:val="subscript"/>
        </w:rPr>
        <w:t>4</w:t>
      </w:r>
      <w:r w:rsidR="001E6040">
        <w:t xml:space="preserve"> fluxes at ecosystem scale by eddy covariance technique (</w:t>
      </w:r>
      <w:proofErr w:type="spellStart"/>
      <w:r w:rsidR="001E6040">
        <w:t>Kowalska</w:t>
      </w:r>
      <w:proofErr w:type="spellEnd"/>
      <w:r w:rsidR="001E6040">
        <w:t xml:space="preserve"> et al. 2013). The </w:t>
      </w:r>
      <w:r w:rsidR="00847BBE">
        <w:t>Dutch</w:t>
      </w:r>
      <w:r w:rsidR="001E6040">
        <w:t xml:space="preserve"> site of </w:t>
      </w:r>
      <w:proofErr w:type="spellStart"/>
      <w:r w:rsidR="001E6040">
        <w:t>Horstermeer</w:t>
      </w:r>
      <w:proofErr w:type="spellEnd"/>
      <w:r w:rsidR="001E6040">
        <w:t xml:space="preserve"> presents analogies with </w:t>
      </w:r>
      <w:proofErr w:type="spellStart"/>
      <w:r w:rsidR="001E6040">
        <w:t>Rzecin</w:t>
      </w:r>
      <w:proofErr w:type="spellEnd"/>
      <w:r w:rsidR="00847BBE">
        <w:t xml:space="preserve"> wetland</w:t>
      </w:r>
      <w:r w:rsidR="001E6040">
        <w:t xml:space="preserve"> for the presence of peat soils</w:t>
      </w:r>
      <w:r w:rsidR="00847BBE">
        <w:t xml:space="preserve"> and partly of vegetation features.</w:t>
      </w:r>
    </w:p>
    <w:p w:rsidR="001D7592" w:rsidRDefault="001D7592" w:rsidP="00D71C64">
      <w:pPr>
        <w:jc w:val="both"/>
      </w:pPr>
    </w:p>
    <w:p w:rsidR="004A165E" w:rsidRDefault="004A165E" w:rsidP="00F20757">
      <w:pPr>
        <w:pStyle w:val="Akapitzlist"/>
        <w:numPr>
          <w:ilvl w:val="0"/>
          <w:numId w:val="1"/>
        </w:numPr>
        <w:ind w:left="360"/>
        <w:rPr>
          <w:b/>
          <w:bCs/>
        </w:rPr>
      </w:pPr>
      <w:r>
        <w:rPr>
          <w:b/>
          <w:bCs/>
        </w:rPr>
        <w:t>Objectives</w:t>
      </w:r>
    </w:p>
    <w:p w:rsidR="00D71C64" w:rsidRDefault="00D71C64" w:rsidP="00D71C64">
      <w:pPr>
        <w:pStyle w:val="Akapitzlist"/>
        <w:ind w:left="360"/>
        <w:rPr>
          <w:b/>
          <w:bCs/>
        </w:rPr>
      </w:pPr>
    </w:p>
    <w:p w:rsidR="00942B7A" w:rsidRPr="00D66864" w:rsidRDefault="004A165E" w:rsidP="005B20FA">
      <w:pPr>
        <w:pStyle w:val="Akapitzlist"/>
        <w:numPr>
          <w:ilvl w:val="1"/>
          <w:numId w:val="1"/>
        </w:numPr>
        <w:ind w:left="0" w:firstLine="0"/>
        <w:rPr>
          <w:b/>
        </w:rPr>
      </w:pPr>
      <w:r w:rsidRPr="00D66864">
        <w:rPr>
          <w:b/>
        </w:rPr>
        <w:t xml:space="preserve">Hypothesis and research objectives </w:t>
      </w:r>
    </w:p>
    <w:p w:rsidR="004A6B33" w:rsidRPr="005B20FA" w:rsidRDefault="00237E77" w:rsidP="000B2754">
      <w:pPr>
        <w:jc w:val="both"/>
      </w:pPr>
      <w:r w:rsidRPr="005B20FA">
        <w:t xml:space="preserve">The site was interested by a land use change in the recent past (20 years ago) which triggered a secondary ecological succession with a consequent </w:t>
      </w:r>
      <w:r w:rsidR="00554F39" w:rsidRPr="005B20FA">
        <w:t>dynami</w:t>
      </w:r>
      <w:r w:rsidR="00F512A3" w:rsidRPr="005B20FA">
        <w:t xml:space="preserve">sm </w:t>
      </w:r>
      <w:r w:rsidR="00554F39" w:rsidRPr="005B20FA">
        <w:t xml:space="preserve">of </w:t>
      </w:r>
      <w:r w:rsidRPr="005B20FA">
        <w:t xml:space="preserve"> </w:t>
      </w:r>
      <w:r w:rsidR="00554F39" w:rsidRPr="005B20FA">
        <w:t xml:space="preserve">the fractions of </w:t>
      </w:r>
      <w:r w:rsidR="00F512A3" w:rsidRPr="005B20FA">
        <w:t xml:space="preserve">different </w:t>
      </w:r>
      <w:r w:rsidR="00554F39" w:rsidRPr="005B20FA">
        <w:t xml:space="preserve">vegetation cover types. The GHG budget of </w:t>
      </w:r>
      <w:proofErr w:type="spellStart"/>
      <w:r w:rsidR="00554F39" w:rsidRPr="005B20FA">
        <w:t>Horsterm</w:t>
      </w:r>
      <w:r w:rsidR="00F512A3" w:rsidRPr="005B20FA">
        <w:t>e</w:t>
      </w:r>
      <w:r w:rsidR="00554F39" w:rsidRPr="005B20FA">
        <w:t>er</w:t>
      </w:r>
      <w:proofErr w:type="spellEnd"/>
      <w:r w:rsidR="00554F39" w:rsidRPr="005B20FA">
        <w:t xml:space="preserve"> </w:t>
      </w:r>
      <w:r w:rsidR="00AE00E5" w:rsidRPr="005B20FA">
        <w:t>was</w:t>
      </w:r>
      <w:r w:rsidR="00554F39" w:rsidRPr="005B20FA">
        <w:t xml:space="preserve"> </w:t>
      </w:r>
      <w:r w:rsidR="00F512A3" w:rsidRPr="005B20FA">
        <w:t>assessed</w:t>
      </w:r>
      <w:r w:rsidR="00554F39" w:rsidRPr="005B20FA">
        <w:t xml:space="preserve"> </w:t>
      </w:r>
      <w:r w:rsidR="00F512A3" w:rsidRPr="005B20FA">
        <w:t xml:space="preserve">at </w:t>
      </w:r>
      <w:r w:rsidR="00554F39" w:rsidRPr="005B20FA">
        <w:t xml:space="preserve">a particular </w:t>
      </w:r>
      <w:r w:rsidR="00F512A3" w:rsidRPr="005B20FA">
        <w:t>point in time</w:t>
      </w:r>
      <w:r w:rsidR="00554F39" w:rsidRPr="005B20FA">
        <w:t xml:space="preserve"> (about 1</w:t>
      </w:r>
      <w:r w:rsidR="0077479F" w:rsidRPr="005B20FA">
        <w:t>0</w:t>
      </w:r>
      <w:r w:rsidR="00554F39" w:rsidRPr="005B20FA">
        <w:t xml:space="preserve"> years after LUC)</w:t>
      </w:r>
      <w:r w:rsidR="00F512A3" w:rsidRPr="005B20FA">
        <w:t xml:space="preserve"> conducting </w:t>
      </w:r>
      <w:r w:rsidR="00AE00E5" w:rsidRPr="005B20FA">
        <w:t xml:space="preserve">plot scale </w:t>
      </w:r>
      <w:r w:rsidR="00F512A3" w:rsidRPr="005B20FA">
        <w:t>measurements of CO</w:t>
      </w:r>
      <w:r w:rsidR="00F512A3" w:rsidRPr="00FE2DF7">
        <w:rPr>
          <w:vertAlign w:val="subscript"/>
        </w:rPr>
        <w:t>2</w:t>
      </w:r>
      <w:r w:rsidR="00F512A3" w:rsidRPr="005B20FA">
        <w:t xml:space="preserve"> and CH</w:t>
      </w:r>
      <w:r w:rsidR="00F512A3" w:rsidRPr="00FE2DF7">
        <w:rPr>
          <w:vertAlign w:val="subscript"/>
        </w:rPr>
        <w:t>4</w:t>
      </w:r>
      <w:r w:rsidR="00F512A3" w:rsidRPr="005B20FA">
        <w:t xml:space="preserve"> fluxes </w:t>
      </w:r>
      <w:r w:rsidR="00AE00E5" w:rsidRPr="005B20FA">
        <w:t>over areas differing by water saturation and plant cover types</w:t>
      </w:r>
      <w:r w:rsidR="00F512A3" w:rsidRPr="005B20FA">
        <w:t xml:space="preserve">  </w:t>
      </w:r>
      <w:r w:rsidR="004A1C4E">
        <w:t>(</w:t>
      </w:r>
      <w:proofErr w:type="spellStart"/>
      <w:r w:rsidR="004A1C4E">
        <w:t>Hendri</w:t>
      </w:r>
      <w:r w:rsidR="00554F39" w:rsidRPr="005B20FA">
        <w:t>ks</w:t>
      </w:r>
      <w:proofErr w:type="spellEnd"/>
      <w:r w:rsidR="00FC68DC">
        <w:t>,</w:t>
      </w:r>
      <w:r w:rsidR="00554F39" w:rsidRPr="005B20FA">
        <w:t xml:space="preserve"> </w:t>
      </w:r>
      <w:r w:rsidR="00FC68DC">
        <w:t>20</w:t>
      </w:r>
      <w:r w:rsidR="006369CA">
        <w:t>09</w:t>
      </w:r>
      <w:r w:rsidR="00554F39" w:rsidRPr="005B20FA">
        <w:t>)</w:t>
      </w:r>
      <w:r w:rsidR="00AE00E5" w:rsidRPr="005B20FA">
        <w:t>.</w:t>
      </w:r>
      <w:r w:rsidR="00554F39" w:rsidRPr="005B20FA">
        <w:t xml:space="preserve"> </w:t>
      </w:r>
      <w:r w:rsidR="00AE00E5" w:rsidRPr="005B20FA">
        <w:t>H</w:t>
      </w:r>
      <w:r w:rsidR="00F512A3" w:rsidRPr="005B20FA">
        <w:t>owever</w:t>
      </w:r>
      <w:r w:rsidR="00554F39" w:rsidRPr="005B20FA">
        <w:t xml:space="preserve"> </w:t>
      </w:r>
      <w:r w:rsidR="00AE00E5" w:rsidRPr="005B20FA">
        <w:t xml:space="preserve">a </w:t>
      </w:r>
      <w:r w:rsidR="00F512A3" w:rsidRPr="005B20FA">
        <w:t xml:space="preserve">further </w:t>
      </w:r>
      <w:r w:rsidR="00AE00E5" w:rsidRPr="005B20FA">
        <w:t xml:space="preserve">evolution in the distribution of the various </w:t>
      </w:r>
      <w:r w:rsidR="00554F39" w:rsidRPr="005B20FA">
        <w:t xml:space="preserve"> </w:t>
      </w:r>
      <w:r w:rsidR="00AE00E5" w:rsidRPr="005B20FA">
        <w:t>plant</w:t>
      </w:r>
      <w:r w:rsidR="00554F39" w:rsidRPr="005B20FA">
        <w:t xml:space="preserve"> cover types and </w:t>
      </w:r>
      <w:r w:rsidR="00AE00E5" w:rsidRPr="005B20FA">
        <w:t>progressive accumulation of sediment</w:t>
      </w:r>
      <w:r w:rsidR="0077479F" w:rsidRPr="005B20FA">
        <w:t xml:space="preserve"> and organic material in the ditches has taken place</w:t>
      </w:r>
      <w:r w:rsidR="00F512A3" w:rsidRPr="005B20FA">
        <w:t xml:space="preserve"> ever since</w:t>
      </w:r>
      <w:r w:rsidR="002B62CF" w:rsidRPr="005B20FA">
        <w:t xml:space="preserve">, therefore a change in the magnitude of the land-atmosphere GHG flux is expected. This can be directly dependent on the relative changes of the distribution of plant types </w:t>
      </w:r>
      <w:r w:rsidR="00431E30" w:rsidRPr="005B20FA">
        <w:t>across the experime</w:t>
      </w:r>
      <w:r w:rsidR="00886E64">
        <w:t>ntal area or determined also by</w:t>
      </w:r>
      <w:r w:rsidR="00431E30" w:rsidRPr="005B20FA">
        <w:t xml:space="preserve"> changes in the specific flux rates of each plant cover type as a response to changes in soil nutrients levels and microbial communities.</w:t>
      </w:r>
    </w:p>
    <w:p w:rsidR="00237E77" w:rsidRPr="005B20FA" w:rsidRDefault="00554F39" w:rsidP="000B2754">
      <w:pPr>
        <w:jc w:val="both"/>
      </w:pPr>
      <w:r w:rsidRPr="005B20FA">
        <w:t xml:space="preserve"> </w:t>
      </w:r>
      <w:r w:rsidR="004A6B33" w:rsidRPr="005B20FA">
        <w:t xml:space="preserve">The project aims </w:t>
      </w:r>
      <w:r w:rsidR="00105530" w:rsidRPr="005B20FA">
        <w:t xml:space="preserve">in general </w:t>
      </w:r>
      <w:r w:rsidR="004A6B33" w:rsidRPr="005B20FA">
        <w:t>at updating</w:t>
      </w:r>
      <w:r w:rsidR="0077479F" w:rsidRPr="005B20FA">
        <w:t xml:space="preserve"> </w:t>
      </w:r>
      <w:r w:rsidR="004A6B33" w:rsidRPr="005B20FA">
        <w:t>the figures</w:t>
      </w:r>
      <w:r w:rsidR="0077479F" w:rsidRPr="005B20FA">
        <w:t xml:space="preserve"> of the GHG budget </w:t>
      </w:r>
      <w:r w:rsidR="004A6B33" w:rsidRPr="005B20FA">
        <w:t xml:space="preserve">of </w:t>
      </w:r>
      <w:r w:rsidR="002B62CF" w:rsidRPr="005B20FA">
        <w:t>the  peat</w:t>
      </w:r>
      <w:r w:rsidR="004A6B33" w:rsidRPr="005B20FA">
        <w:t xml:space="preserve"> </w:t>
      </w:r>
      <w:r w:rsidR="002B62CF" w:rsidRPr="005B20FA">
        <w:t xml:space="preserve">meadow </w:t>
      </w:r>
      <w:r w:rsidR="004A6B33" w:rsidRPr="005B20FA">
        <w:t>ecosystem while introducing novel methodological approaches to improve the overall accuracy of the estimates</w:t>
      </w:r>
      <w:r w:rsidR="007015E2" w:rsidRPr="005B20FA">
        <w:t xml:space="preserve">. The following </w:t>
      </w:r>
      <w:r w:rsidR="00105530" w:rsidRPr="005B20FA">
        <w:t xml:space="preserve">specific </w:t>
      </w:r>
      <w:r w:rsidR="007015E2" w:rsidRPr="005B20FA">
        <w:t xml:space="preserve">research objectives will be </w:t>
      </w:r>
      <w:r w:rsidR="002B62CF" w:rsidRPr="005B20FA">
        <w:t>addressed</w:t>
      </w:r>
      <w:r w:rsidR="007015E2" w:rsidRPr="005B20FA">
        <w:t>:</w:t>
      </w:r>
    </w:p>
    <w:p w:rsidR="00EA4981" w:rsidRDefault="00EA4981" w:rsidP="005B20FA"/>
    <w:p w:rsidR="007015E2" w:rsidRPr="005B20FA" w:rsidRDefault="00BE39A2" w:rsidP="00847BBE">
      <w:pPr>
        <w:pStyle w:val="Akapitzlist"/>
        <w:numPr>
          <w:ilvl w:val="0"/>
          <w:numId w:val="7"/>
        </w:numPr>
        <w:jc w:val="both"/>
      </w:pPr>
      <w:r>
        <w:lastRenderedPageBreak/>
        <w:t>D</w:t>
      </w:r>
      <w:r w:rsidR="007015E2" w:rsidRPr="005B20FA">
        <w:t>etermination of changes in the plant  cover distribution relative to the year 2006</w:t>
      </w:r>
    </w:p>
    <w:p w:rsidR="007015E2" w:rsidRPr="005B20FA" w:rsidRDefault="00BE39A2" w:rsidP="00847BBE">
      <w:pPr>
        <w:pStyle w:val="Akapitzlist"/>
        <w:numPr>
          <w:ilvl w:val="0"/>
          <w:numId w:val="7"/>
        </w:numPr>
        <w:jc w:val="both"/>
      </w:pPr>
      <w:r>
        <w:t>I</w:t>
      </w:r>
      <w:r w:rsidR="002B62CF" w:rsidRPr="005B20FA">
        <w:t>mprovement of the flux sampling design through the evaluation of CH</w:t>
      </w:r>
      <w:r w:rsidR="002B62CF" w:rsidRPr="00FE2DF7">
        <w:rPr>
          <w:vertAlign w:val="subscript"/>
        </w:rPr>
        <w:t>4</w:t>
      </w:r>
      <w:r w:rsidR="002B62CF" w:rsidRPr="005B20FA">
        <w:t xml:space="preserve"> concentration spatial variability at the soil-atmosphere interface and </w:t>
      </w:r>
      <w:r w:rsidR="007015E2" w:rsidRPr="005B20FA">
        <w:t>individuation of CH</w:t>
      </w:r>
      <w:r w:rsidR="007015E2" w:rsidRPr="00FE2DF7">
        <w:rPr>
          <w:vertAlign w:val="subscript"/>
        </w:rPr>
        <w:t>4</w:t>
      </w:r>
      <w:r w:rsidR="007015E2" w:rsidRPr="005B20FA">
        <w:t xml:space="preserve"> emission hot spots</w:t>
      </w:r>
      <w:r w:rsidR="002B62CF" w:rsidRPr="005B20FA">
        <w:t>.</w:t>
      </w:r>
    </w:p>
    <w:p w:rsidR="00DF4ECB" w:rsidRPr="005B20FA" w:rsidRDefault="00BE39A2" w:rsidP="00847BBE">
      <w:pPr>
        <w:pStyle w:val="Akapitzlist"/>
        <w:numPr>
          <w:ilvl w:val="0"/>
          <w:numId w:val="7"/>
        </w:numPr>
        <w:jc w:val="both"/>
      </w:pPr>
      <w:r>
        <w:t>D</w:t>
      </w:r>
      <w:r w:rsidR="00354202">
        <w:t>etermination of plot scale flux</w:t>
      </w:r>
      <w:r w:rsidR="0009543A">
        <w:t xml:space="preserve"> rates</w:t>
      </w:r>
      <w:r w:rsidR="007015E2" w:rsidRPr="005B20FA">
        <w:t xml:space="preserve"> of CH</w:t>
      </w:r>
      <w:r w:rsidR="007015E2" w:rsidRPr="00FE2DF7">
        <w:rPr>
          <w:vertAlign w:val="subscript"/>
        </w:rPr>
        <w:t>4</w:t>
      </w:r>
      <w:r w:rsidR="007015E2" w:rsidRPr="005B20FA">
        <w:t>/CO</w:t>
      </w:r>
      <w:r w:rsidR="007015E2" w:rsidRPr="00FE2DF7">
        <w:rPr>
          <w:vertAlign w:val="subscript"/>
        </w:rPr>
        <w:t>2</w:t>
      </w:r>
      <w:r w:rsidR="007015E2" w:rsidRPr="005B20FA">
        <w:t xml:space="preserve"> through continuous chamber- based monitoring</w:t>
      </w:r>
    </w:p>
    <w:p w:rsidR="00DF4ECB" w:rsidRPr="005B20FA" w:rsidRDefault="00BE39A2" w:rsidP="00847BBE">
      <w:pPr>
        <w:pStyle w:val="Akapitzlist"/>
        <w:numPr>
          <w:ilvl w:val="0"/>
          <w:numId w:val="7"/>
        </w:numPr>
        <w:jc w:val="both"/>
      </w:pPr>
      <w:r>
        <w:t>C</w:t>
      </w:r>
      <w:r w:rsidR="00DF4ECB" w:rsidRPr="005B20FA">
        <w:t xml:space="preserve">haracterization of the contribution of ebullition </w:t>
      </w:r>
      <w:proofErr w:type="spellStart"/>
      <w:r w:rsidR="00DF4ECB" w:rsidRPr="005B20FA">
        <w:t>vs</w:t>
      </w:r>
      <w:proofErr w:type="spellEnd"/>
      <w:r w:rsidR="00DF4ECB" w:rsidRPr="005B20FA">
        <w:t xml:space="preserve"> molecular diffusion to the CH4 emissions from ditches</w:t>
      </w:r>
      <w:r w:rsidR="00105530" w:rsidRPr="005B20FA">
        <w:t>, which cover ~10% of the study area.</w:t>
      </w:r>
    </w:p>
    <w:p w:rsidR="00237E77" w:rsidRDefault="00237E77" w:rsidP="005B20FA">
      <w:pPr>
        <w:rPr>
          <w:b/>
        </w:rPr>
      </w:pPr>
    </w:p>
    <w:p w:rsidR="004A165E" w:rsidRDefault="004A165E" w:rsidP="00D71C64">
      <w:pPr>
        <w:pStyle w:val="Akapitzlist"/>
        <w:ind w:left="0"/>
        <w:rPr>
          <w:b/>
        </w:rPr>
      </w:pPr>
      <w:r w:rsidRPr="005D6B6F">
        <w:rPr>
          <w:b/>
        </w:rPr>
        <w:t xml:space="preserve">b. Connection with the </w:t>
      </w:r>
      <w:proofErr w:type="spellStart"/>
      <w:r w:rsidRPr="005D6B6F">
        <w:rPr>
          <w:b/>
        </w:rPr>
        <w:t>InGOS</w:t>
      </w:r>
      <w:proofErr w:type="spellEnd"/>
      <w:r w:rsidRPr="005D6B6F">
        <w:rPr>
          <w:b/>
        </w:rPr>
        <w:t xml:space="preserve"> objectives and the ‘fitness’ of the use of the requested infrastructure to the objectives</w:t>
      </w:r>
    </w:p>
    <w:p w:rsidR="00FE2DF7" w:rsidRDefault="00FE2DF7" w:rsidP="00D71C64">
      <w:pPr>
        <w:pStyle w:val="Akapitzlist"/>
        <w:ind w:left="0"/>
        <w:rPr>
          <w:b/>
        </w:rPr>
      </w:pPr>
    </w:p>
    <w:p w:rsidR="00FE2DF7" w:rsidRPr="00FE2DF7" w:rsidRDefault="00FE2DF7" w:rsidP="00D71C64">
      <w:pPr>
        <w:pStyle w:val="Akapitzlist"/>
        <w:ind w:left="0"/>
      </w:pPr>
      <w:r w:rsidRPr="00FE2DF7">
        <w:t>The site infrastructure fully allows to develop the described res</w:t>
      </w:r>
      <w:r>
        <w:t>e</w:t>
      </w:r>
      <w:r w:rsidRPr="00FE2DF7">
        <w:t xml:space="preserve">arch activities which are in line with the overall </w:t>
      </w:r>
      <w:proofErr w:type="spellStart"/>
      <w:r w:rsidRPr="00FE2DF7">
        <w:t>InGOS</w:t>
      </w:r>
      <w:proofErr w:type="spellEnd"/>
      <w:r w:rsidRPr="00FE2DF7">
        <w:t xml:space="preserve"> objectives</w:t>
      </w:r>
      <w:r>
        <w:t>.</w:t>
      </w:r>
    </w:p>
    <w:p w:rsidR="00FE2DF7" w:rsidRPr="00861515" w:rsidRDefault="00FE2DF7" w:rsidP="00F20757">
      <w:pPr>
        <w:pStyle w:val="Akapitzlist"/>
        <w:ind w:left="360"/>
        <w:rPr>
          <w:b/>
          <w:bCs/>
        </w:rPr>
      </w:pPr>
    </w:p>
    <w:p w:rsidR="005C017F" w:rsidRPr="00847BBE" w:rsidRDefault="004A165E" w:rsidP="005C017F">
      <w:pPr>
        <w:pStyle w:val="Akapitzlist"/>
        <w:numPr>
          <w:ilvl w:val="0"/>
          <w:numId w:val="1"/>
        </w:numPr>
        <w:ind w:left="360"/>
        <w:rPr>
          <w:b/>
          <w:bCs/>
        </w:rPr>
      </w:pPr>
      <w:r w:rsidRPr="00847BBE">
        <w:rPr>
          <w:b/>
          <w:bCs/>
        </w:rPr>
        <w:t>Methods and materials (legal and ethical issues)</w:t>
      </w:r>
    </w:p>
    <w:p w:rsidR="00391090" w:rsidRPr="005C017F" w:rsidRDefault="004A165E" w:rsidP="00847BBE">
      <w:pPr>
        <w:pStyle w:val="Akapitzlist"/>
        <w:numPr>
          <w:ilvl w:val="1"/>
          <w:numId w:val="1"/>
        </w:numPr>
        <w:ind w:left="426" w:firstLine="0"/>
        <w:rPr>
          <w:b/>
        </w:rPr>
      </w:pPr>
      <w:r w:rsidRPr="005C017F">
        <w:rPr>
          <w:b/>
        </w:rPr>
        <w:t>Research method, explaining how to reach the objective</w:t>
      </w:r>
    </w:p>
    <w:p w:rsidR="00391090" w:rsidRDefault="00391090" w:rsidP="005B20FA">
      <w:pPr>
        <w:pStyle w:val="Akapitzlist"/>
        <w:ind w:left="1080"/>
        <w:rPr>
          <w:b/>
        </w:rPr>
      </w:pPr>
    </w:p>
    <w:p w:rsidR="005B20FA" w:rsidRPr="005B20FA" w:rsidRDefault="00BF7524" w:rsidP="005B20FA">
      <w:pPr>
        <w:rPr>
          <w:u w:val="single"/>
        </w:rPr>
      </w:pPr>
      <w:r>
        <w:rPr>
          <w:u w:val="single"/>
        </w:rPr>
        <w:t>1.</w:t>
      </w:r>
      <w:r w:rsidR="005B20FA" w:rsidRPr="005B20FA">
        <w:rPr>
          <w:u w:val="single"/>
        </w:rPr>
        <w:t>Evaluation of plant cover types and their distribution</w:t>
      </w:r>
    </w:p>
    <w:p w:rsidR="005B20FA" w:rsidRDefault="006B381E" w:rsidP="00D71C64">
      <w:pPr>
        <w:jc w:val="both"/>
      </w:pPr>
      <w:r>
        <w:t>The most recent and cloud free high resolution</w:t>
      </w:r>
      <w:r w:rsidR="00785A34">
        <w:t xml:space="preserve"> (2m geometrical resolution)</w:t>
      </w:r>
      <w:r>
        <w:t xml:space="preserve"> satellite image available (FORMOSAT-2) will be used as a </w:t>
      </w:r>
      <w:r w:rsidR="00785A34">
        <w:t xml:space="preserve">GIS </w:t>
      </w:r>
      <w:r>
        <w:t xml:space="preserve">support to draw a vegetation map at site scale on the basis of observations of actual vegetation </w:t>
      </w:r>
      <w:r w:rsidR="00785A34">
        <w:t xml:space="preserve">to be collected </w:t>
      </w:r>
      <w:r>
        <w:t xml:space="preserve">during a field survey. The botanical survey </w:t>
      </w:r>
      <w:r w:rsidR="00CC374E">
        <w:t xml:space="preserve">will first individuate the characterizing plant cover types consistently with the classification adopted by Hendricks et al. </w:t>
      </w:r>
      <w:r w:rsidR="00D5635A">
        <w:t>(</w:t>
      </w:r>
      <w:r w:rsidR="00CC374E">
        <w:t>2009</w:t>
      </w:r>
      <w:r w:rsidR="00D5635A">
        <w:t>)</w:t>
      </w:r>
      <w:r w:rsidR="00CC374E">
        <w:t xml:space="preserve"> for the same site</w:t>
      </w:r>
      <w:r w:rsidR="007E7ED4">
        <w:t xml:space="preserve"> and target the same spatial range</w:t>
      </w:r>
      <w:r w:rsidR="00CC374E">
        <w:t xml:space="preserve">. The possible presence of new plant cover types, typical of later </w:t>
      </w:r>
      <w:proofErr w:type="spellStart"/>
      <w:r w:rsidR="00CC374E">
        <w:t>successional</w:t>
      </w:r>
      <w:proofErr w:type="spellEnd"/>
      <w:r w:rsidR="00CC374E">
        <w:t xml:space="preserve"> stages, as well the disappearance of others, will be taken into account  and the classification scheme will </w:t>
      </w:r>
      <w:r w:rsidR="00785A34">
        <w:t xml:space="preserve">be </w:t>
      </w:r>
      <w:r w:rsidR="00CC374E">
        <w:t>modified accordingly.</w:t>
      </w:r>
      <w:r w:rsidR="00785A34">
        <w:t xml:space="preserve"> Then spatially explicit data of the </w:t>
      </w:r>
      <w:r w:rsidR="00E67020">
        <w:t>boundaries of the areas</w:t>
      </w:r>
      <w:r w:rsidR="00785A34">
        <w:t xml:space="preserve"> covered </w:t>
      </w:r>
      <w:r w:rsidR="00E67020">
        <w:t>by</w:t>
      </w:r>
      <w:r w:rsidR="00785A34">
        <w:t xml:space="preserve"> </w:t>
      </w:r>
      <w:r w:rsidR="00E67020">
        <w:t>different</w:t>
      </w:r>
      <w:r w:rsidR="00785A34">
        <w:t xml:space="preserve"> plant types will be collected </w:t>
      </w:r>
      <w:r w:rsidR="007E7ED4">
        <w:t xml:space="preserve">by GPS and after the application of post processing differential corrections, plant cover types areas will be </w:t>
      </w:r>
      <w:r w:rsidR="00E67020">
        <w:t>finally mapped.</w:t>
      </w:r>
    </w:p>
    <w:p w:rsidR="005B20FA" w:rsidRDefault="005B20FA" w:rsidP="005B20FA"/>
    <w:p w:rsidR="00265609" w:rsidRPr="00D07DCC" w:rsidRDefault="00BF7524" w:rsidP="005B20FA">
      <w:pPr>
        <w:rPr>
          <w:u w:val="single"/>
        </w:rPr>
      </w:pPr>
      <w:r>
        <w:rPr>
          <w:u w:val="single"/>
        </w:rPr>
        <w:t>2.</w:t>
      </w:r>
      <w:r w:rsidR="002E1745" w:rsidRPr="002E1745">
        <w:rPr>
          <w:u w:val="single"/>
        </w:rPr>
        <w:t>Individuation of methane emission hotspots</w:t>
      </w:r>
    </w:p>
    <w:p w:rsidR="00891884" w:rsidRDefault="00891884" w:rsidP="00D71C64">
      <w:pPr>
        <w:jc w:val="both"/>
      </w:pPr>
      <w:r>
        <w:t>The site area will be covered with measurements of CH</w:t>
      </w:r>
      <w:r w:rsidRPr="00FE2DF7">
        <w:rPr>
          <w:vertAlign w:val="subscript"/>
        </w:rPr>
        <w:t>4</w:t>
      </w:r>
      <w:r>
        <w:t xml:space="preserve"> concentration </w:t>
      </w:r>
      <w:r w:rsidR="00BD6914">
        <w:t>by means of</w:t>
      </w:r>
      <w:r>
        <w:t xml:space="preserve"> a portable gas analyzer along parallel transects. </w:t>
      </w:r>
      <w:r w:rsidR="00BD6914">
        <w:t>Air</w:t>
      </w:r>
      <w:r>
        <w:t xml:space="preserve"> sampling will</w:t>
      </w:r>
      <w:r w:rsidR="00BD6914">
        <w:t xml:space="preserve"> be performed at a fixed height above the groun</w:t>
      </w:r>
      <w:r w:rsidR="00354202">
        <w:t>d</w:t>
      </w:r>
      <w:r w:rsidR="00BD6914">
        <w:t xml:space="preserve"> (i.e.~20cm) </w:t>
      </w:r>
      <w:r w:rsidR="001F234F">
        <w:t>and concentration data will be logged</w:t>
      </w:r>
      <w:r w:rsidR="00BD6914">
        <w:t xml:space="preserve"> </w:t>
      </w:r>
      <w:r w:rsidR="001F234F">
        <w:t>at high frequency (1Hz) in parallel with geographical coordinates</w:t>
      </w:r>
      <w:r w:rsidR="00BD6914">
        <w:t xml:space="preserve"> </w:t>
      </w:r>
      <w:r w:rsidR="001F234F">
        <w:t>acquired by a</w:t>
      </w:r>
      <w:r w:rsidR="00BD6914">
        <w:t xml:space="preserve"> GPS </w:t>
      </w:r>
      <w:r w:rsidR="001F234F">
        <w:t xml:space="preserve">device. </w:t>
      </w:r>
      <w:r w:rsidR="00D07DCC">
        <w:t>2D c</w:t>
      </w:r>
      <w:r w:rsidR="001F234F">
        <w:t>oncentration fields of methane will</w:t>
      </w:r>
      <w:r w:rsidR="00D07DCC">
        <w:t xml:space="preserve"> be retrieved by geo</w:t>
      </w:r>
      <w:r w:rsidR="00354202">
        <w:t>-</w:t>
      </w:r>
      <w:r w:rsidR="00D07DCC">
        <w:t xml:space="preserve">statistical interpolation methods (e.g. </w:t>
      </w:r>
      <w:proofErr w:type="spellStart"/>
      <w:r w:rsidR="00D07DCC">
        <w:t>Kriging</w:t>
      </w:r>
      <w:proofErr w:type="spellEnd"/>
      <w:r w:rsidR="00D07DCC">
        <w:t>) and they will be used to evaluate the adopted flux monitoring experimental design.</w:t>
      </w:r>
    </w:p>
    <w:p w:rsidR="001F234F" w:rsidRPr="005B20FA" w:rsidRDefault="001F234F" w:rsidP="005B20FA"/>
    <w:p w:rsidR="009E216A" w:rsidRPr="00BF7524" w:rsidRDefault="009E216A" w:rsidP="005B20FA">
      <w:pPr>
        <w:rPr>
          <w:u w:val="single"/>
        </w:rPr>
      </w:pPr>
      <w:r w:rsidRPr="00BF7524">
        <w:rPr>
          <w:u w:val="single"/>
        </w:rPr>
        <w:t>3</w:t>
      </w:r>
      <w:r w:rsidR="00BF7524">
        <w:rPr>
          <w:u w:val="single"/>
        </w:rPr>
        <w:t>.</w:t>
      </w:r>
      <w:r w:rsidRPr="00BF7524">
        <w:rPr>
          <w:u w:val="single"/>
        </w:rPr>
        <w:t xml:space="preserve"> Use of a set of automated chambers </w:t>
      </w:r>
      <w:r w:rsidR="00BF7524" w:rsidRPr="00BF7524">
        <w:rPr>
          <w:u w:val="single"/>
        </w:rPr>
        <w:t>for</w:t>
      </w:r>
      <w:r w:rsidRPr="00BF7524">
        <w:rPr>
          <w:u w:val="single"/>
        </w:rPr>
        <w:t xml:space="preserve"> continuous measurements of CO</w:t>
      </w:r>
      <w:r w:rsidRPr="00FE2DF7">
        <w:rPr>
          <w:u w:val="single"/>
          <w:vertAlign w:val="subscript"/>
        </w:rPr>
        <w:t>2</w:t>
      </w:r>
      <w:r w:rsidRPr="00BF7524">
        <w:rPr>
          <w:u w:val="single"/>
        </w:rPr>
        <w:t xml:space="preserve"> and CH</w:t>
      </w:r>
      <w:r w:rsidRPr="00FE2DF7">
        <w:rPr>
          <w:u w:val="single"/>
          <w:vertAlign w:val="subscript"/>
        </w:rPr>
        <w:t>4</w:t>
      </w:r>
      <w:r w:rsidRPr="00BF7524">
        <w:rPr>
          <w:u w:val="single"/>
        </w:rPr>
        <w:t xml:space="preserve"> fluxes between the grassland and the atmosphere over targeted plant cover types.</w:t>
      </w:r>
    </w:p>
    <w:p w:rsidR="00D07DCC" w:rsidRDefault="00D07DCC" w:rsidP="00D71C64">
      <w:pPr>
        <w:jc w:val="both"/>
      </w:pPr>
      <w:r>
        <w:t>During the field campaign a flux monitoring system made of 6 chambers with automated closure/opening con</w:t>
      </w:r>
      <w:r w:rsidR="00333A09">
        <w:t>n</w:t>
      </w:r>
      <w:r>
        <w:t xml:space="preserve">ected to a </w:t>
      </w:r>
      <w:r w:rsidR="00333A09">
        <w:t>laser spectroscopic gas analyzer will be deployed and tested for continuous monitoring of  CH</w:t>
      </w:r>
      <w:r w:rsidR="00333A09" w:rsidRPr="00FE2DF7">
        <w:rPr>
          <w:vertAlign w:val="subscript"/>
        </w:rPr>
        <w:t>4</w:t>
      </w:r>
      <w:r w:rsidR="00333A09">
        <w:t xml:space="preserve"> and CO</w:t>
      </w:r>
      <w:r w:rsidR="00333A09" w:rsidRPr="00FE2DF7">
        <w:rPr>
          <w:vertAlign w:val="subscript"/>
        </w:rPr>
        <w:t>2</w:t>
      </w:r>
      <w:r w:rsidR="00333A09">
        <w:t xml:space="preserve"> fluxes at plot scale.</w:t>
      </w:r>
      <w:r w:rsidR="00793DE2">
        <w:t xml:space="preserve"> A test comparing flux rates </w:t>
      </w:r>
      <w:r w:rsidR="00793DE2">
        <w:lastRenderedPageBreak/>
        <w:t xml:space="preserve">measured with laser spectroscopy against a </w:t>
      </w:r>
      <w:proofErr w:type="spellStart"/>
      <w:r w:rsidR="00793DE2">
        <w:t>photoac</w:t>
      </w:r>
      <w:r w:rsidR="004A25C0">
        <w:t>o</w:t>
      </w:r>
      <w:r w:rsidR="00793DE2">
        <w:t>ustic</w:t>
      </w:r>
      <w:proofErr w:type="spellEnd"/>
      <w:r w:rsidR="00793DE2">
        <w:t xml:space="preserve"> analyzer (</w:t>
      </w:r>
      <w:proofErr w:type="spellStart"/>
      <w:r w:rsidR="00793DE2">
        <w:t>Innova</w:t>
      </w:r>
      <w:proofErr w:type="spellEnd"/>
      <w:r w:rsidR="00793DE2">
        <w:t xml:space="preserve"> 1312)</w:t>
      </w:r>
      <w:r w:rsidR="00027579">
        <w:t>,</w:t>
      </w:r>
      <w:r w:rsidR="00793DE2">
        <w:t xml:space="preserve"> </w:t>
      </w:r>
      <w:r w:rsidR="00027579">
        <w:t>used during previous campaigns at the site, is foreseen.</w:t>
      </w:r>
      <w:r w:rsidR="00BF7524">
        <w:t xml:space="preserve"> This will allow to detect instrument dependent biases in the flux records while analyzing the whole dataset of chamber based measurements available so far for this site.</w:t>
      </w:r>
      <w:r w:rsidR="0009543A">
        <w:t xml:space="preserve"> Automated chambers installed during the planned summer field work will eventually provide a continuous monitoring of fluxes at the site and will allow the assessment of the ecosystem GHG budget by integrating data </w:t>
      </w:r>
      <w:r w:rsidR="00311441">
        <w:t>from</w:t>
      </w:r>
      <w:r w:rsidR="0009543A">
        <w:t xml:space="preserve"> different plant cover types</w:t>
      </w:r>
      <w:r w:rsidR="00311441">
        <w:t>.</w:t>
      </w:r>
      <w:r w:rsidR="0009543A">
        <w:t xml:space="preserve"> </w:t>
      </w:r>
    </w:p>
    <w:p w:rsidR="00D07DCC" w:rsidRPr="005B20FA" w:rsidRDefault="00D07DCC" w:rsidP="005B20FA"/>
    <w:p w:rsidR="000815D8" w:rsidRPr="00354202" w:rsidRDefault="00354202" w:rsidP="005B20FA">
      <w:pPr>
        <w:rPr>
          <w:u w:val="single"/>
        </w:rPr>
      </w:pPr>
      <w:r>
        <w:rPr>
          <w:u w:val="single"/>
        </w:rPr>
        <w:t>4</w:t>
      </w:r>
      <w:r w:rsidR="009E216A" w:rsidRPr="00354202">
        <w:rPr>
          <w:u w:val="single"/>
        </w:rPr>
        <w:t xml:space="preserve">. </w:t>
      </w:r>
      <w:r w:rsidR="0082459F" w:rsidRPr="00354202">
        <w:rPr>
          <w:u w:val="single"/>
        </w:rPr>
        <w:t>Methane and carbon dioxide fluxes over ditches</w:t>
      </w:r>
    </w:p>
    <w:p w:rsidR="007E713E" w:rsidRDefault="0082459F" w:rsidP="005C017F">
      <w:pPr>
        <w:jc w:val="both"/>
        <w:rPr>
          <w:b/>
        </w:rPr>
      </w:pPr>
      <w:r>
        <w:t>F</w:t>
      </w:r>
      <w:r w:rsidR="009E216A" w:rsidRPr="005B20FA">
        <w:t xml:space="preserve">loating chambers </w:t>
      </w:r>
      <w:r w:rsidR="00EF0317">
        <w:t xml:space="preserve">(2) will be deployed </w:t>
      </w:r>
      <w:r w:rsidR="00255EEC">
        <w:t xml:space="preserve">over the water of </w:t>
      </w:r>
      <w:r w:rsidR="00EF0317">
        <w:t>the ditch enclosing the site area and CH</w:t>
      </w:r>
      <w:r w:rsidR="00EF0317" w:rsidRPr="00FE2DF7">
        <w:rPr>
          <w:vertAlign w:val="subscript"/>
        </w:rPr>
        <w:t>4</w:t>
      </w:r>
      <w:r w:rsidR="00EF0317">
        <w:t>/CO</w:t>
      </w:r>
      <w:r w:rsidR="00EF0317" w:rsidRPr="00FE2DF7">
        <w:rPr>
          <w:vertAlign w:val="subscript"/>
        </w:rPr>
        <w:t>2</w:t>
      </w:r>
      <w:r w:rsidR="00EF0317">
        <w:t xml:space="preserve"> and flux measurements will be taken using a </w:t>
      </w:r>
      <w:r w:rsidR="009E216A" w:rsidRPr="005B20FA">
        <w:t xml:space="preserve"> high frequency (1Hz) </w:t>
      </w:r>
      <w:r w:rsidR="0063744B" w:rsidRPr="005B20FA">
        <w:t xml:space="preserve">gas </w:t>
      </w:r>
      <w:r w:rsidR="009E216A" w:rsidRPr="005B20FA">
        <w:t>analyzer</w:t>
      </w:r>
      <w:r w:rsidR="00EF0317">
        <w:t xml:space="preserve"> which will enable to detect sudden increases of concentration inside the chamber </w:t>
      </w:r>
      <w:r w:rsidR="002A0E4F">
        <w:t>as a result of</w:t>
      </w:r>
      <w:r w:rsidR="00EF0317">
        <w:t xml:space="preserve"> ebullition episodes. </w:t>
      </w:r>
      <w:r w:rsidR="00255EEC">
        <w:t xml:space="preserve">Data processing, developed in MATLAB environment, will allow to distinguish the  flux rate </w:t>
      </w:r>
      <w:r w:rsidR="002A0E4F">
        <w:t>attributable to</w:t>
      </w:r>
      <w:r w:rsidR="00255EEC">
        <w:t xml:space="preserve"> </w:t>
      </w:r>
      <w:r w:rsidR="002A0E4F">
        <w:t>gas diffusion from that associated to gas bubbling inside the chambers.</w:t>
      </w:r>
      <w:r w:rsidR="00AA7ABC">
        <w:t xml:space="preserve"> By this method it is possible to evaluate </w:t>
      </w:r>
      <w:r w:rsidR="00EF3E0F" w:rsidRPr="004E446A">
        <w:t xml:space="preserve">the contribution of ebullition to the </w:t>
      </w:r>
      <w:r w:rsidR="00EF3E0F">
        <w:t>total ef</w:t>
      </w:r>
      <w:r w:rsidR="00EF3E0F" w:rsidRPr="004E446A">
        <w:t>flux.</w:t>
      </w:r>
    </w:p>
    <w:p w:rsidR="005B20FA" w:rsidRDefault="005B20FA" w:rsidP="00742CDA">
      <w:pPr>
        <w:jc w:val="both"/>
      </w:pPr>
    </w:p>
    <w:p w:rsidR="000043D8" w:rsidRDefault="005B20FA" w:rsidP="00D71C64">
      <w:pPr>
        <w:pStyle w:val="Akapitzlist"/>
        <w:numPr>
          <w:ilvl w:val="0"/>
          <w:numId w:val="4"/>
        </w:numPr>
        <w:ind w:left="0" w:firstLine="0"/>
        <w:rPr>
          <w:b/>
        </w:rPr>
      </w:pPr>
      <w:r w:rsidRPr="00165DA9">
        <w:rPr>
          <w:b/>
        </w:rPr>
        <w:t>Research materials, instrumentation</w:t>
      </w:r>
    </w:p>
    <w:p w:rsidR="00D71C64" w:rsidRDefault="00D71C64" w:rsidP="00D71C64">
      <w:pPr>
        <w:pStyle w:val="Akapitzlist"/>
        <w:ind w:left="0"/>
        <w:rPr>
          <w:b/>
        </w:rPr>
      </w:pPr>
    </w:p>
    <w:p w:rsidR="000043D8" w:rsidRDefault="000043D8" w:rsidP="000043D8">
      <w:pPr>
        <w:pStyle w:val="Akapitzlist"/>
        <w:ind w:left="0"/>
      </w:pPr>
      <w:r>
        <w:t>Research materials and instrumentation will include a suite of gas analyzers and systems for the measurements of gas concentrations/fluxes of CH</w:t>
      </w:r>
      <w:r w:rsidRPr="00FE2DF7">
        <w:rPr>
          <w:vertAlign w:val="subscript"/>
        </w:rPr>
        <w:t>4</w:t>
      </w:r>
      <w:r>
        <w:t xml:space="preserve"> and CO</w:t>
      </w:r>
      <w:r w:rsidRPr="00FE2DF7">
        <w:rPr>
          <w:vertAlign w:val="subscript"/>
        </w:rPr>
        <w:t>2</w:t>
      </w:r>
      <w:r>
        <w:t xml:space="preserve"> at different spatial and temporal scale</w:t>
      </w:r>
      <w:r w:rsidR="005456E2">
        <w:t>s:</w:t>
      </w:r>
    </w:p>
    <w:p w:rsidR="00141361" w:rsidRPr="000043D8" w:rsidRDefault="000043D8" w:rsidP="005456E2">
      <w:pPr>
        <w:pStyle w:val="Akapitzlist"/>
        <w:numPr>
          <w:ilvl w:val="0"/>
          <w:numId w:val="5"/>
        </w:numPr>
      </w:pPr>
      <w:r>
        <w:t>Portable gas anal</w:t>
      </w:r>
      <w:r w:rsidR="004A25C0">
        <w:t>y</w:t>
      </w:r>
      <w:r>
        <w:t xml:space="preserve">zers: (a) </w:t>
      </w:r>
      <w:r w:rsidR="00141361" w:rsidRPr="000043D8">
        <w:t>L</w:t>
      </w:r>
      <w:r>
        <w:t>og Gatos Research, Ultra-</w:t>
      </w:r>
      <w:r w:rsidR="00141361" w:rsidRPr="000043D8">
        <w:t>portable CH</w:t>
      </w:r>
      <w:r w:rsidR="00141361" w:rsidRPr="00FE2DF7">
        <w:rPr>
          <w:vertAlign w:val="subscript"/>
        </w:rPr>
        <w:t>4</w:t>
      </w:r>
      <w:r w:rsidR="00141361" w:rsidRPr="000043D8">
        <w:t>/CO</w:t>
      </w:r>
      <w:r w:rsidR="00141361" w:rsidRPr="00FE2DF7">
        <w:rPr>
          <w:vertAlign w:val="subscript"/>
        </w:rPr>
        <w:t>2</w:t>
      </w:r>
      <w:r w:rsidR="00141361" w:rsidRPr="000043D8">
        <w:t xml:space="preserve"> analyzer</w:t>
      </w:r>
      <w:r>
        <w:t xml:space="preserve">, (b) </w:t>
      </w:r>
      <w:proofErr w:type="spellStart"/>
      <w:r w:rsidR="00141361" w:rsidRPr="000043D8">
        <w:t>Innova</w:t>
      </w:r>
      <w:proofErr w:type="spellEnd"/>
      <w:r w:rsidR="00141361" w:rsidRPr="000043D8">
        <w:t xml:space="preserve"> 1312</w:t>
      </w:r>
      <w:r>
        <w:t xml:space="preserve"> </w:t>
      </w:r>
      <w:proofErr w:type="spellStart"/>
      <w:r>
        <w:t>photoacoustic</w:t>
      </w:r>
      <w:proofErr w:type="spellEnd"/>
      <w:r>
        <w:t xml:space="preserve"> analyzer</w:t>
      </w:r>
      <w:r w:rsidR="005456E2">
        <w:t>.</w:t>
      </w:r>
    </w:p>
    <w:p w:rsidR="005456E2" w:rsidRPr="000043D8" w:rsidRDefault="005456E2" w:rsidP="005456E2">
      <w:pPr>
        <w:pStyle w:val="Akapitzlist"/>
        <w:numPr>
          <w:ilvl w:val="0"/>
          <w:numId w:val="5"/>
        </w:numPr>
      </w:pPr>
      <w:r>
        <w:t>F</w:t>
      </w:r>
      <w:r w:rsidRPr="000043D8">
        <w:t>loating vented PVC chamber</w:t>
      </w:r>
      <w:r>
        <w:t>s</w:t>
      </w:r>
    </w:p>
    <w:p w:rsidR="000043D8" w:rsidRDefault="000043D8" w:rsidP="005456E2">
      <w:pPr>
        <w:pStyle w:val="Akapitzlist"/>
        <w:numPr>
          <w:ilvl w:val="0"/>
          <w:numId w:val="5"/>
        </w:numPr>
      </w:pPr>
      <w:r>
        <w:t xml:space="preserve">Automated chamber system including: </w:t>
      </w:r>
      <w:r w:rsidR="00141361" w:rsidRPr="000043D8">
        <w:t xml:space="preserve">PVC collars, 6 </w:t>
      </w:r>
      <w:r>
        <w:t xml:space="preserve">transparent </w:t>
      </w:r>
      <w:r w:rsidR="00141361" w:rsidRPr="000043D8">
        <w:t>vented chambers,</w:t>
      </w:r>
      <w:r>
        <w:t xml:space="preserve"> tubing and valves</w:t>
      </w:r>
      <w:r w:rsidR="005456E2">
        <w:t xml:space="preserve"> </w:t>
      </w:r>
      <w:r>
        <w:t>+</w:t>
      </w:r>
      <w:r w:rsidR="005456E2">
        <w:t xml:space="preserve"> </w:t>
      </w:r>
      <w:r>
        <w:t>programmable controller</w:t>
      </w:r>
      <w:r w:rsidR="00F33E27">
        <w:t xml:space="preserve">, </w:t>
      </w:r>
      <w:r w:rsidR="005456E2">
        <w:t xml:space="preserve">gas </w:t>
      </w:r>
      <w:r w:rsidR="00F33E27">
        <w:t>analyzer (a) or alternatively a LGR DLT100</w:t>
      </w:r>
    </w:p>
    <w:p w:rsidR="005456E2" w:rsidRPr="000043D8" w:rsidRDefault="005456E2" w:rsidP="005456E2">
      <w:pPr>
        <w:pStyle w:val="Akapitzlist"/>
        <w:numPr>
          <w:ilvl w:val="0"/>
          <w:numId w:val="5"/>
        </w:numPr>
      </w:pPr>
      <w:r w:rsidRPr="000043D8">
        <w:t>Eddy covariance CO</w:t>
      </w:r>
      <w:r w:rsidRPr="00FE2DF7">
        <w:rPr>
          <w:vertAlign w:val="subscript"/>
        </w:rPr>
        <w:t>2</w:t>
      </w:r>
      <w:r w:rsidRPr="000043D8">
        <w:t xml:space="preserve"> flux system  (Gill </w:t>
      </w:r>
      <w:proofErr w:type="spellStart"/>
      <w:r w:rsidRPr="000043D8">
        <w:t>WindMaster</w:t>
      </w:r>
      <w:proofErr w:type="spellEnd"/>
      <w:r w:rsidRPr="000043D8">
        <w:t xml:space="preserve">, </w:t>
      </w:r>
      <w:proofErr w:type="spellStart"/>
      <w:r w:rsidRPr="000043D8">
        <w:t>LiCor</w:t>
      </w:r>
      <w:proofErr w:type="spellEnd"/>
      <w:r w:rsidRPr="000043D8">
        <w:t xml:space="preserve"> 7500)</w:t>
      </w:r>
      <w:r>
        <w:t>-already operating at the site on a continuous basis.</w:t>
      </w:r>
    </w:p>
    <w:p w:rsidR="00141361" w:rsidRPr="000043D8" w:rsidRDefault="00141361" w:rsidP="005456E2">
      <w:pPr>
        <w:pStyle w:val="Akapitzlist"/>
        <w:numPr>
          <w:ilvl w:val="0"/>
          <w:numId w:val="5"/>
        </w:numPr>
      </w:pPr>
      <w:r w:rsidRPr="000043D8">
        <w:t>Garmin GPS</w:t>
      </w:r>
    </w:p>
    <w:p w:rsidR="001A530F" w:rsidRPr="000043D8" w:rsidRDefault="001A530F" w:rsidP="005456E2">
      <w:pPr>
        <w:pStyle w:val="Akapitzlist"/>
        <w:numPr>
          <w:ilvl w:val="0"/>
          <w:numId w:val="5"/>
        </w:numPr>
      </w:pPr>
      <w:r w:rsidRPr="000043D8">
        <w:t>FORMOSAT-2 satellite imagery (panchromatic, 2m),(</w:t>
      </w:r>
      <w:proofErr w:type="spellStart"/>
      <w:r w:rsidRPr="000043D8">
        <w:t>hyperspectral</w:t>
      </w:r>
      <w:proofErr w:type="spellEnd"/>
      <w:r w:rsidRPr="000043D8">
        <w:t>, 8m)</w:t>
      </w:r>
    </w:p>
    <w:p w:rsidR="008916D9" w:rsidRDefault="008916D9">
      <w:pPr>
        <w:pStyle w:val="Akapitzlist"/>
        <w:ind w:left="1440"/>
        <w:rPr>
          <w:b/>
        </w:rPr>
      </w:pPr>
    </w:p>
    <w:p w:rsidR="005B20FA" w:rsidRDefault="005B20FA" w:rsidP="00D71C64">
      <w:pPr>
        <w:pStyle w:val="Akapitzlist"/>
        <w:numPr>
          <w:ilvl w:val="0"/>
          <w:numId w:val="4"/>
        </w:numPr>
        <w:ind w:left="0" w:firstLine="0"/>
        <w:rPr>
          <w:b/>
        </w:rPr>
      </w:pPr>
      <w:r w:rsidRPr="00165DA9">
        <w:rPr>
          <w:b/>
        </w:rPr>
        <w:t>Governance procedures, safety precautions, permit requirements and procedures</w:t>
      </w:r>
    </w:p>
    <w:p w:rsidR="005B20FA" w:rsidRDefault="005B20FA" w:rsidP="00742CDA">
      <w:pPr>
        <w:jc w:val="both"/>
      </w:pPr>
    </w:p>
    <w:p w:rsidR="00FC68DC" w:rsidRDefault="00A7205D" w:rsidP="00985D4E">
      <w:pPr>
        <w:jc w:val="both"/>
      </w:pPr>
      <w:r w:rsidRPr="00742CDA">
        <w:t>N</w:t>
      </w:r>
      <w:r w:rsidR="004A165E" w:rsidRPr="00742CDA">
        <w:t xml:space="preserve">o governance procedures or safety precautions are </w:t>
      </w:r>
      <w:r w:rsidR="000043D8">
        <w:t>necessary</w:t>
      </w:r>
      <w:r w:rsidR="004A165E" w:rsidRPr="00742CDA">
        <w:t xml:space="preserve"> for this project.</w:t>
      </w:r>
    </w:p>
    <w:p w:rsidR="00985D4E" w:rsidRDefault="00985D4E" w:rsidP="00985D4E">
      <w:pPr>
        <w:jc w:val="both"/>
      </w:pPr>
    </w:p>
    <w:p w:rsidR="00985D4E" w:rsidRDefault="00985D4E" w:rsidP="00985D4E">
      <w:pPr>
        <w:jc w:val="both"/>
      </w:pPr>
    </w:p>
    <w:p w:rsidR="00985D4E" w:rsidRDefault="00985D4E" w:rsidP="00985D4E">
      <w:pPr>
        <w:jc w:val="both"/>
      </w:pPr>
    </w:p>
    <w:p w:rsidR="00985D4E" w:rsidRDefault="00985D4E" w:rsidP="00985D4E">
      <w:pPr>
        <w:jc w:val="both"/>
      </w:pPr>
    </w:p>
    <w:p w:rsidR="00985D4E" w:rsidRDefault="00985D4E" w:rsidP="00985D4E">
      <w:pPr>
        <w:jc w:val="both"/>
      </w:pPr>
    </w:p>
    <w:p w:rsidR="00985D4E" w:rsidRDefault="00985D4E" w:rsidP="00985D4E">
      <w:pPr>
        <w:jc w:val="both"/>
      </w:pPr>
    </w:p>
    <w:p w:rsidR="00985D4E" w:rsidRPr="00985D4E" w:rsidRDefault="00985D4E" w:rsidP="00985D4E">
      <w:pPr>
        <w:jc w:val="both"/>
      </w:pPr>
    </w:p>
    <w:p w:rsidR="00FC68DC" w:rsidRPr="00861515" w:rsidRDefault="00FC68DC" w:rsidP="001E1C70">
      <w:pPr>
        <w:pStyle w:val="Akapitzlist"/>
        <w:ind w:left="360"/>
        <w:jc w:val="both"/>
        <w:rPr>
          <w:b/>
          <w:bCs/>
        </w:rPr>
      </w:pPr>
    </w:p>
    <w:p w:rsidR="004A165E" w:rsidRDefault="004A165E" w:rsidP="00F20757">
      <w:pPr>
        <w:pStyle w:val="Akapitzlist"/>
        <w:numPr>
          <w:ilvl w:val="0"/>
          <w:numId w:val="1"/>
        </w:numPr>
        <w:ind w:left="360"/>
        <w:rPr>
          <w:b/>
          <w:bCs/>
        </w:rPr>
      </w:pPr>
      <w:r>
        <w:rPr>
          <w:b/>
          <w:bCs/>
        </w:rPr>
        <w:lastRenderedPageBreak/>
        <w:t>Implementation: timetable, budget, distribution of work</w:t>
      </w:r>
    </w:p>
    <w:p w:rsidR="004A165E" w:rsidRDefault="004A165E" w:rsidP="00EC54D9">
      <w:pPr>
        <w:pStyle w:val="Akapitzlist"/>
        <w:numPr>
          <w:ilvl w:val="1"/>
          <w:numId w:val="1"/>
        </w:numPr>
        <w:ind w:left="1080"/>
        <w:rPr>
          <w:b/>
        </w:rPr>
      </w:pPr>
      <w:r w:rsidRPr="00436769">
        <w:rPr>
          <w:b/>
        </w:rPr>
        <w:t xml:space="preserve">Timetable for the research including personnel efforts, favorably table wise </w:t>
      </w:r>
    </w:p>
    <w:p w:rsidR="006369CA" w:rsidRPr="00411127" w:rsidRDefault="006369CA" w:rsidP="005B2B1F">
      <w:pPr>
        <w:pStyle w:val="Akapitzlist"/>
        <w:ind w:left="1080"/>
        <w:rPr>
          <w: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2"/>
        <w:gridCol w:w="1468"/>
        <w:gridCol w:w="3060"/>
      </w:tblGrid>
      <w:tr w:rsidR="004A165E" w:rsidRPr="00620CAD" w:rsidTr="00847BBE">
        <w:tc>
          <w:tcPr>
            <w:tcW w:w="5692" w:type="dxa"/>
            <w:shd w:val="clear" w:color="auto" w:fill="auto"/>
          </w:tcPr>
          <w:p w:rsidR="004A165E" w:rsidRPr="007636B7" w:rsidRDefault="004A165E" w:rsidP="007636B7">
            <w:pPr>
              <w:pStyle w:val="Akapitzlist"/>
              <w:ind w:left="0"/>
              <w:rPr>
                <w:i/>
                <w:iCs/>
              </w:rPr>
            </w:pPr>
            <w:r w:rsidRPr="007636B7">
              <w:rPr>
                <w:i/>
                <w:iCs/>
              </w:rPr>
              <w:t>Task</w:t>
            </w:r>
          </w:p>
        </w:tc>
        <w:tc>
          <w:tcPr>
            <w:tcW w:w="1468" w:type="dxa"/>
            <w:shd w:val="clear" w:color="auto" w:fill="auto"/>
          </w:tcPr>
          <w:p w:rsidR="004A165E" w:rsidRPr="007636B7" w:rsidRDefault="00510C7A" w:rsidP="007636B7">
            <w:pPr>
              <w:pStyle w:val="Akapitzlist"/>
              <w:ind w:left="0"/>
              <w:rPr>
                <w:i/>
                <w:iCs/>
              </w:rPr>
            </w:pPr>
            <w:r>
              <w:rPr>
                <w:i/>
                <w:iCs/>
              </w:rPr>
              <w:t>Period</w:t>
            </w:r>
          </w:p>
        </w:tc>
        <w:tc>
          <w:tcPr>
            <w:tcW w:w="3060" w:type="dxa"/>
            <w:shd w:val="clear" w:color="auto" w:fill="auto"/>
          </w:tcPr>
          <w:p w:rsidR="004A165E" w:rsidRPr="007636B7" w:rsidRDefault="00510C7A" w:rsidP="007636B7">
            <w:pPr>
              <w:pStyle w:val="Akapitzlist"/>
              <w:ind w:left="0"/>
              <w:rPr>
                <w:i/>
                <w:iCs/>
              </w:rPr>
            </w:pPr>
            <w:r>
              <w:rPr>
                <w:i/>
                <w:iCs/>
              </w:rPr>
              <w:t>Researchers involved</w:t>
            </w:r>
          </w:p>
        </w:tc>
      </w:tr>
      <w:tr w:rsidR="004A165E" w:rsidRPr="00436769" w:rsidTr="00847BBE">
        <w:tc>
          <w:tcPr>
            <w:tcW w:w="5692" w:type="dxa"/>
            <w:shd w:val="clear" w:color="auto" w:fill="auto"/>
          </w:tcPr>
          <w:p w:rsidR="004A165E" w:rsidRDefault="00510C7A" w:rsidP="00A7205D">
            <w:pPr>
              <w:pStyle w:val="Akapitzlist"/>
              <w:ind w:left="0"/>
            </w:pPr>
            <w:r w:rsidRPr="00040AAD">
              <w:rPr>
                <w:b/>
              </w:rPr>
              <w:t xml:space="preserve">Field campaign at </w:t>
            </w:r>
            <w:proofErr w:type="spellStart"/>
            <w:r w:rsidRPr="00040AAD">
              <w:rPr>
                <w:b/>
              </w:rPr>
              <w:t>Horstermeer</w:t>
            </w:r>
            <w:proofErr w:type="spellEnd"/>
            <w:r>
              <w:t>:</w:t>
            </w:r>
          </w:p>
          <w:p w:rsidR="00BF04CE" w:rsidRDefault="00847BBE" w:rsidP="00763A93">
            <w:r>
              <w:rPr>
                <w:i/>
              </w:rPr>
              <w:t>(</w:t>
            </w:r>
            <w:r w:rsidR="00B85FA2" w:rsidRPr="00847BBE">
              <w:rPr>
                <w:i/>
              </w:rPr>
              <w:t xml:space="preserve">Vegetation </w:t>
            </w:r>
            <w:r w:rsidR="00040AAD" w:rsidRPr="00847BBE">
              <w:rPr>
                <w:i/>
              </w:rPr>
              <w:t xml:space="preserve">classification and plants type </w:t>
            </w:r>
            <w:r w:rsidR="00B85FA2" w:rsidRPr="00847BBE">
              <w:rPr>
                <w:i/>
              </w:rPr>
              <w:t>cover assessment</w:t>
            </w:r>
            <w:r>
              <w:rPr>
                <w:i/>
              </w:rPr>
              <w:t xml:space="preserve">; </w:t>
            </w:r>
            <w:r w:rsidR="00040AAD" w:rsidRPr="00847BBE">
              <w:rPr>
                <w:i/>
              </w:rPr>
              <w:t>Measurements of GHG concentration fields</w:t>
            </w:r>
            <w:r>
              <w:rPr>
                <w:i/>
              </w:rPr>
              <w:t>; s</w:t>
            </w:r>
            <w:r w:rsidR="00510C7A" w:rsidRPr="00847BBE">
              <w:rPr>
                <w:i/>
              </w:rPr>
              <w:t>et up of automated chambers system</w:t>
            </w:r>
            <w:r>
              <w:rPr>
                <w:i/>
              </w:rPr>
              <w:t>; g</w:t>
            </w:r>
            <w:r w:rsidR="00040AAD" w:rsidRPr="00847BBE">
              <w:rPr>
                <w:i/>
              </w:rPr>
              <w:t>as analyzers inter-comparison</w:t>
            </w:r>
            <w:r>
              <w:rPr>
                <w:i/>
              </w:rPr>
              <w:t>; m</w:t>
            </w:r>
            <w:r w:rsidR="00BF04CE" w:rsidRPr="00847BBE">
              <w:rPr>
                <w:i/>
              </w:rPr>
              <w:t>easurements of GHG fluxes over ditches</w:t>
            </w:r>
            <w:r>
              <w:rPr>
                <w:i/>
              </w:rPr>
              <w:t>)</w:t>
            </w:r>
          </w:p>
        </w:tc>
        <w:tc>
          <w:tcPr>
            <w:tcW w:w="1468" w:type="dxa"/>
            <w:shd w:val="clear" w:color="auto" w:fill="auto"/>
          </w:tcPr>
          <w:p w:rsidR="004A165E" w:rsidRDefault="00436769" w:rsidP="00D55C90">
            <w:pPr>
              <w:pStyle w:val="Akapitzlist"/>
              <w:ind w:left="0"/>
              <w:jc w:val="center"/>
            </w:pPr>
            <w:r>
              <w:t>2</w:t>
            </w:r>
            <w:r w:rsidR="00D55C90">
              <w:t>1</w:t>
            </w:r>
            <w:r>
              <w:t>-</w:t>
            </w:r>
            <w:r w:rsidR="005B20FA">
              <w:t>3</w:t>
            </w:r>
            <w:r w:rsidR="00D55C90">
              <w:t>0</w:t>
            </w:r>
            <w:r w:rsidR="00510C7A">
              <w:t xml:space="preserve"> July </w:t>
            </w:r>
            <w:r w:rsidR="00A7205D">
              <w:t>2014</w:t>
            </w:r>
          </w:p>
        </w:tc>
        <w:tc>
          <w:tcPr>
            <w:tcW w:w="3060" w:type="dxa"/>
            <w:shd w:val="clear" w:color="auto" w:fill="auto"/>
          </w:tcPr>
          <w:p w:rsidR="004A165E" w:rsidRPr="00436769" w:rsidRDefault="00436769" w:rsidP="007636B7">
            <w:pPr>
              <w:pStyle w:val="Akapitzlist"/>
              <w:ind w:left="0"/>
              <w:rPr>
                <w:lang w:val="pl-PL"/>
              </w:rPr>
            </w:pPr>
            <w:r w:rsidRPr="00436769">
              <w:rPr>
                <w:lang w:val="pl-PL"/>
              </w:rPr>
              <w:t>Natalia Kowalska</w:t>
            </w:r>
            <w:r w:rsidR="004A165E" w:rsidRPr="00436769">
              <w:rPr>
                <w:lang w:val="pl-PL"/>
              </w:rPr>
              <w:t xml:space="preserve"> (</w:t>
            </w:r>
            <w:proofErr w:type="spellStart"/>
            <w:r w:rsidR="004A165E" w:rsidRPr="00436769">
              <w:rPr>
                <w:lang w:val="pl-PL"/>
              </w:rPr>
              <w:t>applicant</w:t>
            </w:r>
            <w:proofErr w:type="spellEnd"/>
            <w:r w:rsidR="004A165E" w:rsidRPr="00436769">
              <w:rPr>
                <w:lang w:val="pl-PL"/>
              </w:rPr>
              <w:t>)</w:t>
            </w:r>
          </w:p>
          <w:p w:rsidR="004A165E" w:rsidRPr="00265609" w:rsidRDefault="00436769" w:rsidP="007636B7">
            <w:pPr>
              <w:pStyle w:val="Akapitzlist"/>
              <w:ind w:left="0"/>
              <w:rPr>
                <w:lang w:val="it-IT"/>
              </w:rPr>
            </w:pPr>
            <w:r w:rsidRPr="00265609">
              <w:rPr>
                <w:lang w:val="it-IT"/>
              </w:rPr>
              <w:t>Luca Belelli Marchesini</w:t>
            </w:r>
          </w:p>
          <w:p w:rsidR="004A165E" w:rsidRPr="00436769" w:rsidRDefault="00436769" w:rsidP="007636B7">
            <w:pPr>
              <w:pStyle w:val="Akapitzlist"/>
              <w:ind w:left="0"/>
            </w:pPr>
            <w:proofErr w:type="spellStart"/>
            <w:r w:rsidRPr="00436769">
              <w:t>Ko</w:t>
            </w:r>
            <w:proofErr w:type="spellEnd"/>
            <w:r w:rsidRPr="00436769">
              <w:t xml:space="preserve"> van </w:t>
            </w:r>
            <w:proofErr w:type="spellStart"/>
            <w:r w:rsidRPr="00436769">
              <w:t>Huissteden</w:t>
            </w:r>
            <w:proofErr w:type="spellEnd"/>
          </w:p>
        </w:tc>
      </w:tr>
      <w:tr w:rsidR="004A165E" w:rsidRPr="00305ED1" w:rsidTr="00847BBE">
        <w:tc>
          <w:tcPr>
            <w:tcW w:w="5692" w:type="dxa"/>
            <w:shd w:val="clear" w:color="auto" w:fill="auto"/>
          </w:tcPr>
          <w:p w:rsidR="00E438E7" w:rsidRPr="00847BBE" w:rsidRDefault="00A7205D" w:rsidP="00847BBE">
            <w:pPr>
              <w:pStyle w:val="Akapitzlist"/>
              <w:ind w:left="0"/>
              <w:rPr>
                <w:i/>
              </w:rPr>
            </w:pPr>
            <w:r>
              <w:t xml:space="preserve">Data </w:t>
            </w:r>
            <w:r w:rsidR="00847BBE">
              <w:t>processing (v</w:t>
            </w:r>
            <w:r w:rsidR="00BF04CE" w:rsidRPr="00847BBE">
              <w:rPr>
                <w:i/>
              </w:rPr>
              <w:t>egetation cover map</w:t>
            </w:r>
            <w:r w:rsidR="00847BBE">
              <w:rPr>
                <w:i/>
              </w:rPr>
              <w:t>, c</w:t>
            </w:r>
            <w:r w:rsidR="00BF04CE" w:rsidRPr="00847BBE">
              <w:rPr>
                <w:i/>
              </w:rPr>
              <w:t>hamber based fluxes</w:t>
            </w:r>
            <w:r w:rsidR="00847BBE">
              <w:rPr>
                <w:i/>
              </w:rPr>
              <w:t>, e</w:t>
            </w:r>
            <w:r w:rsidR="00E438E7" w:rsidRPr="00847BBE">
              <w:rPr>
                <w:i/>
              </w:rPr>
              <w:t>ddy covariance fluxes</w:t>
            </w:r>
            <w:r w:rsidR="00847BBE">
              <w:rPr>
                <w:i/>
              </w:rPr>
              <w:t>)</w:t>
            </w:r>
          </w:p>
          <w:p w:rsidR="00E438E7" w:rsidRDefault="00E438E7" w:rsidP="00E438E7">
            <w:r>
              <w:t>Analysis of results</w:t>
            </w:r>
          </w:p>
        </w:tc>
        <w:tc>
          <w:tcPr>
            <w:tcW w:w="1468" w:type="dxa"/>
            <w:shd w:val="clear" w:color="auto" w:fill="auto"/>
          </w:tcPr>
          <w:p w:rsidR="004A165E" w:rsidRDefault="00FC46C3" w:rsidP="00E438E7">
            <w:pPr>
              <w:pStyle w:val="Akapitzlist"/>
              <w:ind w:left="0"/>
              <w:jc w:val="center"/>
            </w:pPr>
            <w:r>
              <w:t>Sep</w:t>
            </w:r>
            <w:r w:rsidR="00E438E7">
              <w:t>tember</w:t>
            </w:r>
            <w:r>
              <w:t>-</w:t>
            </w:r>
            <w:r w:rsidR="00E438E7">
              <w:t>December</w:t>
            </w:r>
            <w:r>
              <w:t xml:space="preserve"> 2014</w:t>
            </w:r>
          </w:p>
        </w:tc>
        <w:tc>
          <w:tcPr>
            <w:tcW w:w="3060" w:type="dxa"/>
            <w:shd w:val="clear" w:color="auto" w:fill="auto"/>
          </w:tcPr>
          <w:p w:rsidR="006665DF" w:rsidRDefault="00436769" w:rsidP="007636B7">
            <w:pPr>
              <w:pStyle w:val="Akapitzlist"/>
              <w:ind w:left="0"/>
              <w:rPr>
                <w:lang w:val="es-ES"/>
              </w:rPr>
            </w:pPr>
            <w:r>
              <w:rPr>
                <w:lang w:val="es-ES"/>
              </w:rPr>
              <w:t>Natalia Kowalska</w:t>
            </w:r>
          </w:p>
          <w:p w:rsidR="004A165E" w:rsidRPr="00436769" w:rsidRDefault="00436769" w:rsidP="007636B7">
            <w:pPr>
              <w:pStyle w:val="Akapitzlist"/>
              <w:ind w:left="0"/>
            </w:pPr>
            <w:r w:rsidRPr="00436769">
              <w:t xml:space="preserve">Luca </w:t>
            </w:r>
            <w:proofErr w:type="spellStart"/>
            <w:r w:rsidRPr="00436769">
              <w:t>Belelli</w:t>
            </w:r>
            <w:proofErr w:type="spellEnd"/>
            <w:r w:rsidRPr="00436769">
              <w:t xml:space="preserve"> </w:t>
            </w:r>
            <w:proofErr w:type="spellStart"/>
            <w:r w:rsidRPr="00436769">
              <w:t>Marchesini</w:t>
            </w:r>
            <w:proofErr w:type="spellEnd"/>
          </w:p>
          <w:p w:rsidR="004A165E" w:rsidRPr="004E0289" w:rsidRDefault="004A165E" w:rsidP="007636B7">
            <w:pPr>
              <w:pStyle w:val="Akapitzlist"/>
              <w:ind w:left="0"/>
              <w:rPr>
                <w:lang w:val="pl-PL"/>
              </w:rPr>
            </w:pPr>
          </w:p>
        </w:tc>
      </w:tr>
      <w:tr w:rsidR="004A165E" w:rsidRPr="004A25C0" w:rsidTr="00985D4E">
        <w:trPr>
          <w:trHeight w:val="667"/>
        </w:trPr>
        <w:tc>
          <w:tcPr>
            <w:tcW w:w="5692" w:type="dxa"/>
            <w:shd w:val="clear" w:color="auto" w:fill="auto"/>
          </w:tcPr>
          <w:p w:rsidR="004A165E" w:rsidRDefault="00E438E7" w:rsidP="00002EB9">
            <w:pPr>
              <w:pStyle w:val="Akapitzlist"/>
              <w:ind w:left="0"/>
            </w:pPr>
            <w:r>
              <w:t>Preparation of manuscript(s)</w:t>
            </w:r>
          </w:p>
        </w:tc>
        <w:tc>
          <w:tcPr>
            <w:tcW w:w="1468" w:type="dxa"/>
            <w:shd w:val="clear" w:color="auto" w:fill="auto"/>
          </w:tcPr>
          <w:p w:rsidR="004A165E" w:rsidRDefault="00E438E7" w:rsidP="00693635">
            <w:pPr>
              <w:pStyle w:val="Akapitzlist"/>
              <w:ind w:left="0"/>
              <w:jc w:val="center"/>
            </w:pPr>
            <w:r>
              <w:t>Jan</w:t>
            </w:r>
            <w:r w:rsidR="00693635">
              <w:t>u</w:t>
            </w:r>
            <w:r>
              <w:t>ary-June 2015</w:t>
            </w:r>
          </w:p>
        </w:tc>
        <w:tc>
          <w:tcPr>
            <w:tcW w:w="3060" w:type="dxa"/>
            <w:shd w:val="clear" w:color="auto" w:fill="auto"/>
          </w:tcPr>
          <w:p w:rsidR="004A165E" w:rsidRPr="004E446A" w:rsidRDefault="00436769" w:rsidP="007636B7">
            <w:pPr>
              <w:pStyle w:val="Akapitzlist"/>
              <w:ind w:left="0"/>
              <w:rPr>
                <w:lang w:val="pl-PL"/>
              </w:rPr>
            </w:pPr>
            <w:r w:rsidRPr="004E446A">
              <w:rPr>
                <w:lang w:val="pl-PL"/>
              </w:rPr>
              <w:t>Natalia Kowalska</w:t>
            </w:r>
          </w:p>
          <w:p w:rsidR="00436769" w:rsidRPr="004E446A" w:rsidRDefault="00436769" w:rsidP="00436769">
            <w:pPr>
              <w:pStyle w:val="Akapitzlist"/>
              <w:ind w:left="0"/>
              <w:rPr>
                <w:lang w:val="pl-PL"/>
              </w:rPr>
            </w:pPr>
            <w:r w:rsidRPr="004E446A">
              <w:rPr>
                <w:lang w:val="pl-PL"/>
              </w:rPr>
              <w:t xml:space="preserve">Luca </w:t>
            </w:r>
            <w:proofErr w:type="spellStart"/>
            <w:r w:rsidRPr="004E446A">
              <w:rPr>
                <w:lang w:val="pl-PL"/>
              </w:rPr>
              <w:t>Belelli</w:t>
            </w:r>
            <w:proofErr w:type="spellEnd"/>
            <w:r w:rsidRPr="004E446A">
              <w:rPr>
                <w:lang w:val="pl-PL"/>
              </w:rPr>
              <w:t xml:space="preserve"> </w:t>
            </w:r>
            <w:proofErr w:type="spellStart"/>
            <w:r w:rsidRPr="004E446A">
              <w:rPr>
                <w:lang w:val="pl-PL"/>
              </w:rPr>
              <w:t>Marchesini</w:t>
            </w:r>
            <w:proofErr w:type="spellEnd"/>
          </w:p>
          <w:p w:rsidR="004A165E" w:rsidRPr="004E446A" w:rsidRDefault="00436769" w:rsidP="00436769">
            <w:pPr>
              <w:pStyle w:val="Akapitzlist"/>
              <w:ind w:left="0"/>
              <w:rPr>
                <w:lang w:val="pl-PL"/>
              </w:rPr>
            </w:pPr>
            <w:r w:rsidRPr="004E446A">
              <w:rPr>
                <w:lang w:val="pl-PL"/>
              </w:rPr>
              <w:t xml:space="preserve">Ko van </w:t>
            </w:r>
            <w:proofErr w:type="spellStart"/>
            <w:r w:rsidRPr="004E446A">
              <w:rPr>
                <w:lang w:val="pl-PL"/>
              </w:rPr>
              <w:t>Huissteden</w:t>
            </w:r>
            <w:proofErr w:type="spellEnd"/>
          </w:p>
        </w:tc>
      </w:tr>
    </w:tbl>
    <w:p w:rsidR="004A165E" w:rsidRPr="004E446A" w:rsidRDefault="004A165E" w:rsidP="00EC54D9">
      <w:pPr>
        <w:pStyle w:val="Akapitzlist"/>
        <w:rPr>
          <w:lang w:val="pl-PL"/>
        </w:rPr>
      </w:pPr>
    </w:p>
    <w:p w:rsidR="00BF04CE" w:rsidRPr="009937E1" w:rsidRDefault="004A165E" w:rsidP="00620CAD">
      <w:pPr>
        <w:pStyle w:val="Akapitzlist"/>
        <w:numPr>
          <w:ilvl w:val="1"/>
          <w:numId w:val="1"/>
        </w:numPr>
        <w:ind w:left="0" w:firstLine="0"/>
        <w:rPr>
          <w:rStyle w:val="Odwoaniedokomentarza"/>
          <w:sz w:val="24"/>
          <w:szCs w:val="24"/>
        </w:rPr>
      </w:pPr>
      <w:r w:rsidRPr="009937E1">
        <w:rPr>
          <w:b/>
        </w:rPr>
        <w:t>Total budget for travel and logistical support as requested</w:t>
      </w:r>
      <w:r w:rsidR="00F56AB9" w:rsidRPr="009937E1">
        <w:rPr>
          <w:b/>
        </w:rPr>
        <w:t xml:space="preserve">    </w:t>
      </w:r>
    </w:p>
    <w:p w:rsidR="00984DA0" w:rsidRDefault="00984DA0" w:rsidP="00984DA0">
      <w:pPr>
        <w:pStyle w:val="Akapitzlist"/>
        <w:ind w:left="0"/>
      </w:pPr>
    </w:p>
    <w:tbl>
      <w:tblPr>
        <w:tblStyle w:val="Tabela-Siatka"/>
        <w:tblW w:w="0" w:type="auto"/>
        <w:tblInd w:w="720" w:type="dxa"/>
        <w:tblLook w:val="04A0"/>
      </w:tblPr>
      <w:tblGrid>
        <w:gridCol w:w="3452"/>
        <w:gridCol w:w="2032"/>
        <w:gridCol w:w="2693"/>
      </w:tblGrid>
      <w:tr w:rsidR="00BF04CE" w:rsidTr="007E7D22">
        <w:tc>
          <w:tcPr>
            <w:tcW w:w="3452" w:type="dxa"/>
          </w:tcPr>
          <w:p w:rsidR="00BF04CE" w:rsidRPr="00E438E7" w:rsidRDefault="00BF04CE" w:rsidP="00763A93">
            <w:pPr>
              <w:pStyle w:val="Akapitzlist"/>
              <w:ind w:left="0"/>
              <w:rPr>
                <w:b/>
              </w:rPr>
            </w:pPr>
            <w:r w:rsidRPr="00E438E7">
              <w:rPr>
                <w:b/>
              </w:rPr>
              <w:t>Cost category</w:t>
            </w:r>
          </w:p>
        </w:tc>
        <w:tc>
          <w:tcPr>
            <w:tcW w:w="2032" w:type="dxa"/>
          </w:tcPr>
          <w:p w:rsidR="00BF04CE" w:rsidRPr="00E438E7" w:rsidRDefault="00BF04CE" w:rsidP="00235585">
            <w:pPr>
              <w:pStyle w:val="Akapitzlist"/>
              <w:ind w:left="0"/>
              <w:jc w:val="center"/>
              <w:rPr>
                <w:b/>
              </w:rPr>
            </w:pPr>
            <w:r w:rsidRPr="00E438E7">
              <w:rPr>
                <w:b/>
              </w:rPr>
              <w:t>Amount (euro)</w:t>
            </w:r>
          </w:p>
        </w:tc>
        <w:tc>
          <w:tcPr>
            <w:tcW w:w="2693" w:type="dxa"/>
          </w:tcPr>
          <w:p w:rsidR="00BF04CE" w:rsidRPr="00E438E7" w:rsidRDefault="007E7D22" w:rsidP="00235585">
            <w:pPr>
              <w:pStyle w:val="Akapitzlist"/>
              <w:ind w:left="0"/>
              <w:jc w:val="center"/>
              <w:rPr>
                <w:b/>
              </w:rPr>
            </w:pPr>
            <w:r>
              <w:rPr>
                <w:b/>
              </w:rPr>
              <w:t>remarks</w:t>
            </w:r>
          </w:p>
        </w:tc>
      </w:tr>
      <w:tr w:rsidR="00BF04CE" w:rsidTr="007E7D22">
        <w:tc>
          <w:tcPr>
            <w:tcW w:w="3452" w:type="dxa"/>
            <w:vAlign w:val="center"/>
          </w:tcPr>
          <w:p w:rsidR="00BF04CE" w:rsidRPr="00E438E7" w:rsidRDefault="00BF04CE" w:rsidP="00763A93">
            <w:pPr>
              <w:pStyle w:val="Akapitzlist"/>
              <w:ind w:left="0"/>
              <w:rPr>
                <w:i/>
              </w:rPr>
            </w:pPr>
            <w:r w:rsidRPr="00E438E7">
              <w:rPr>
                <w:i/>
              </w:rPr>
              <w:t>Travel (Poznan-Amsterdam)</w:t>
            </w:r>
          </w:p>
        </w:tc>
        <w:tc>
          <w:tcPr>
            <w:tcW w:w="2032" w:type="dxa"/>
          </w:tcPr>
          <w:p w:rsidR="00BF04CE" w:rsidRPr="00E438E7" w:rsidRDefault="00BF04CE" w:rsidP="00235585">
            <w:pPr>
              <w:pStyle w:val="Akapitzlist"/>
              <w:ind w:left="0"/>
              <w:jc w:val="center"/>
              <w:rPr>
                <w:i/>
              </w:rPr>
            </w:pPr>
            <w:r w:rsidRPr="00E438E7">
              <w:rPr>
                <w:i/>
              </w:rPr>
              <w:t>240</w:t>
            </w:r>
          </w:p>
        </w:tc>
        <w:tc>
          <w:tcPr>
            <w:tcW w:w="2693" w:type="dxa"/>
          </w:tcPr>
          <w:p w:rsidR="00BF04CE" w:rsidRPr="00E438E7" w:rsidRDefault="00BF04CE" w:rsidP="00235585">
            <w:pPr>
              <w:pStyle w:val="Akapitzlist"/>
              <w:ind w:left="0"/>
              <w:jc w:val="center"/>
              <w:rPr>
                <w:i/>
              </w:rPr>
            </w:pPr>
          </w:p>
        </w:tc>
      </w:tr>
      <w:tr w:rsidR="00BF04CE" w:rsidTr="007E7D22">
        <w:tc>
          <w:tcPr>
            <w:tcW w:w="3452" w:type="dxa"/>
            <w:vAlign w:val="center"/>
          </w:tcPr>
          <w:p w:rsidR="00BF04CE" w:rsidRPr="00E438E7" w:rsidRDefault="00BF04CE" w:rsidP="00763A93">
            <w:pPr>
              <w:pStyle w:val="Akapitzlist"/>
              <w:ind w:left="0"/>
              <w:rPr>
                <w:i/>
              </w:rPr>
            </w:pPr>
            <w:r w:rsidRPr="00E438E7">
              <w:rPr>
                <w:i/>
              </w:rPr>
              <w:t>Subsistence</w:t>
            </w:r>
          </w:p>
        </w:tc>
        <w:tc>
          <w:tcPr>
            <w:tcW w:w="2032" w:type="dxa"/>
          </w:tcPr>
          <w:p w:rsidR="00BF04CE" w:rsidRPr="00E438E7" w:rsidRDefault="00C465C1" w:rsidP="00235585">
            <w:pPr>
              <w:pStyle w:val="Akapitzlist"/>
              <w:ind w:left="0"/>
              <w:jc w:val="center"/>
              <w:rPr>
                <w:i/>
              </w:rPr>
            </w:pPr>
            <w:r w:rsidRPr="00E438E7">
              <w:rPr>
                <w:i/>
              </w:rPr>
              <w:t>500</w:t>
            </w:r>
          </w:p>
        </w:tc>
        <w:tc>
          <w:tcPr>
            <w:tcW w:w="2693" w:type="dxa"/>
          </w:tcPr>
          <w:p w:rsidR="00BF04CE" w:rsidRPr="00E438E7" w:rsidRDefault="00C465C1" w:rsidP="00235585">
            <w:pPr>
              <w:pStyle w:val="Akapitzlist"/>
              <w:ind w:left="0"/>
              <w:jc w:val="center"/>
              <w:rPr>
                <w:i/>
              </w:rPr>
            </w:pPr>
            <w:r w:rsidRPr="00E438E7">
              <w:rPr>
                <w:i/>
              </w:rPr>
              <w:t>50 € * 10 days</w:t>
            </w:r>
          </w:p>
        </w:tc>
      </w:tr>
      <w:tr w:rsidR="00C465C1" w:rsidTr="007E7D22">
        <w:tc>
          <w:tcPr>
            <w:tcW w:w="3452" w:type="dxa"/>
            <w:vAlign w:val="center"/>
          </w:tcPr>
          <w:p w:rsidR="00C465C1" w:rsidRPr="00E438E7" w:rsidRDefault="00C465C1" w:rsidP="00763A93">
            <w:pPr>
              <w:pStyle w:val="Akapitzlist"/>
              <w:ind w:left="0"/>
              <w:rPr>
                <w:i/>
              </w:rPr>
            </w:pPr>
            <w:r w:rsidRPr="00E438E7">
              <w:rPr>
                <w:i/>
              </w:rPr>
              <w:t>Transport (Amsterdam-</w:t>
            </w:r>
            <w:proofErr w:type="spellStart"/>
            <w:r w:rsidRPr="00E438E7">
              <w:rPr>
                <w:i/>
              </w:rPr>
              <w:t>Horstermeer</w:t>
            </w:r>
            <w:proofErr w:type="spellEnd"/>
            <w:r w:rsidRPr="00E438E7">
              <w:rPr>
                <w:i/>
              </w:rPr>
              <w:t>)</w:t>
            </w:r>
          </w:p>
        </w:tc>
        <w:tc>
          <w:tcPr>
            <w:tcW w:w="2032" w:type="dxa"/>
          </w:tcPr>
          <w:p w:rsidR="00C465C1" w:rsidRPr="00E438E7" w:rsidRDefault="00C465C1" w:rsidP="00235585">
            <w:pPr>
              <w:pStyle w:val="Akapitzlist"/>
              <w:ind w:left="0"/>
              <w:jc w:val="center"/>
              <w:rPr>
                <w:i/>
              </w:rPr>
            </w:pPr>
            <w:r w:rsidRPr="00E438E7">
              <w:rPr>
                <w:i/>
              </w:rPr>
              <w:t>-</w:t>
            </w:r>
          </w:p>
        </w:tc>
        <w:tc>
          <w:tcPr>
            <w:tcW w:w="2693" w:type="dxa"/>
          </w:tcPr>
          <w:p w:rsidR="00C465C1" w:rsidRPr="00E438E7" w:rsidRDefault="00C465C1" w:rsidP="00235585">
            <w:pPr>
              <w:pStyle w:val="Akapitzlist"/>
              <w:ind w:left="0"/>
              <w:jc w:val="center"/>
              <w:rPr>
                <w:i/>
              </w:rPr>
            </w:pPr>
            <w:r w:rsidRPr="00E438E7">
              <w:rPr>
                <w:i/>
              </w:rPr>
              <w:t>In-kind contribution</w:t>
            </w:r>
          </w:p>
        </w:tc>
      </w:tr>
      <w:tr w:rsidR="008B15BE" w:rsidTr="007E7D22">
        <w:tc>
          <w:tcPr>
            <w:tcW w:w="3452" w:type="dxa"/>
            <w:vAlign w:val="center"/>
          </w:tcPr>
          <w:p w:rsidR="008B15BE" w:rsidRPr="00E438E7" w:rsidRDefault="00693635" w:rsidP="00763A93">
            <w:pPr>
              <w:pStyle w:val="Akapitzlist"/>
              <w:ind w:left="0"/>
              <w:rPr>
                <w:i/>
              </w:rPr>
            </w:pPr>
            <w:r>
              <w:rPr>
                <w:i/>
              </w:rPr>
              <w:t>Construction material (wood)</w:t>
            </w:r>
          </w:p>
        </w:tc>
        <w:tc>
          <w:tcPr>
            <w:tcW w:w="2032" w:type="dxa"/>
          </w:tcPr>
          <w:p w:rsidR="008B15BE" w:rsidRPr="00E438E7" w:rsidRDefault="00693635" w:rsidP="00235585">
            <w:pPr>
              <w:pStyle w:val="Akapitzlist"/>
              <w:ind w:left="0"/>
              <w:jc w:val="center"/>
              <w:rPr>
                <w:i/>
              </w:rPr>
            </w:pPr>
            <w:r>
              <w:rPr>
                <w:i/>
              </w:rPr>
              <w:t>200</w:t>
            </w:r>
          </w:p>
        </w:tc>
        <w:tc>
          <w:tcPr>
            <w:tcW w:w="2693" w:type="dxa"/>
          </w:tcPr>
          <w:p w:rsidR="008B15BE" w:rsidRPr="00E438E7" w:rsidRDefault="008B15BE" w:rsidP="00235585">
            <w:pPr>
              <w:pStyle w:val="Akapitzlist"/>
              <w:ind w:left="0"/>
              <w:jc w:val="center"/>
              <w:rPr>
                <w:i/>
              </w:rPr>
            </w:pPr>
          </w:p>
        </w:tc>
      </w:tr>
      <w:tr w:rsidR="00FC31C1" w:rsidTr="00763A93">
        <w:tc>
          <w:tcPr>
            <w:tcW w:w="3452" w:type="dxa"/>
            <w:shd w:val="clear" w:color="auto" w:fill="D9D9D9" w:themeFill="background1" w:themeFillShade="D9"/>
            <w:vAlign w:val="center"/>
          </w:tcPr>
          <w:p w:rsidR="00FC31C1" w:rsidRPr="00763A93" w:rsidRDefault="00FC31C1" w:rsidP="00763A93">
            <w:pPr>
              <w:pStyle w:val="Akapitzlist"/>
              <w:ind w:left="0"/>
              <w:rPr>
                <w:b/>
              </w:rPr>
            </w:pPr>
            <w:r w:rsidRPr="00763A93">
              <w:rPr>
                <w:b/>
              </w:rPr>
              <w:t>TOTAL</w:t>
            </w:r>
          </w:p>
        </w:tc>
        <w:tc>
          <w:tcPr>
            <w:tcW w:w="2032" w:type="dxa"/>
            <w:shd w:val="clear" w:color="auto" w:fill="D9D9D9" w:themeFill="background1" w:themeFillShade="D9"/>
            <w:vAlign w:val="center"/>
          </w:tcPr>
          <w:p w:rsidR="00FC31C1" w:rsidRPr="00E438E7" w:rsidRDefault="00693635" w:rsidP="007E7D22">
            <w:pPr>
              <w:pStyle w:val="Akapitzlist"/>
              <w:ind w:left="0"/>
              <w:jc w:val="center"/>
              <w:rPr>
                <w:i/>
              </w:rPr>
            </w:pPr>
            <w:r>
              <w:rPr>
                <w:i/>
              </w:rPr>
              <w:t>9</w:t>
            </w:r>
            <w:r w:rsidR="007E7D22">
              <w:rPr>
                <w:i/>
              </w:rPr>
              <w:t>40</w:t>
            </w:r>
          </w:p>
        </w:tc>
        <w:tc>
          <w:tcPr>
            <w:tcW w:w="2693" w:type="dxa"/>
            <w:shd w:val="clear" w:color="auto" w:fill="D9D9D9" w:themeFill="background1" w:themeFillShade="D9"/>
          </w:tcPr>
          <w:p w:rsidR="00FC31C1" w:rsidRPr="00E438E7" w:rsidRDefault="00FC31C1" w:rsidP="00620CAD">
            <w:pPr>
              <w:pStyle w:val="Akapitzlist"/>
              <w:ind w:left="0"/>
              <w:rPr>
                <w:i/>
              </w:rPr>
            </w:pPr>
          </w:p>
        </w:tc>
      </w:tr>
    </w:tbl>
    <w:p w:rsidR="00FC46C3" w:rsidRDefault="00FC46C3" w:rsidP="00620CAD">
      <w:pPr>
        <w:pStyle w:val="Akapitzlist"/>
      </w:pPr>
    </w:p>
    <w:p w:rsidR="004A165E" w:rsidRPr="00F20757" w:rsidRDefault="004A165E" w:rsidP="00620CAD">
      <w:pPr>
        <w:pStyle w:val="Akapitzlist"/>
      </w:pPr>
    </w:p>
    <w:p w:rsidR="004A165E" w:rsidRPr="00436769" w:rsidRDefault="004A165E" w:rsidP="00D71C64">
      <w:pPr>
        <w:pStyle w:val="Akapitzlist"/>
        <w:numPr>
          <w:ilvl w:val="1"/>
          <w:numId w:val="1"/>
        </w:numPr>
        <w:ind w:left="0" w:firstLine="0"/>
        <w:rPr>
          <w:b/>
        </w:rPr>
      </w:pPr>
      <w:r w:rsidRPr="00436769">
        <w:rPr>
          <w:b/>
        </w:rPr>
        <w:t>Plan for specific logist</w:t>
      </w:r>
      <w:r w:rsidR="00742CDA">
        <w:rPr>
          <w:b/>
        </w:rPr>
        <w:t>ic</w:t>
      </w:r>
      <w:r w:rsidRPr="00436769">
        <w:rPr>
          <w:b/>
        </w:rPr>
        <w:t>al needs like visa, import/export licenses etc.</w:t>
      </w:r>
    </w:p>
    <w:p w:rsidR="004A165E" w:rsidRPr="00F20757" w:rsidRDefault="004A165E" w:rsidP="00641C53">
      <w:pPr>
        <w:pStyle w:val="Akapitzlist"/>
      </w:pPr>
      <w:r w:rsidRPr="00742CDA">
        <w:t>Not applicable</w:t>
      </w:r>
    </w:p>
    <w:p w:rsidR="004A165E" w:rsidRPr="00861515" w:rsidRDefault="004A165E" w:rsidP="00F20757">
      <w:pPr>
        <w:pStyle w:val="Akapitzlist"/>
        <w:ind w:left="360"/>
        <w:rPr>
          <w:b/>
          <w:bCs/>
        </w:rPr>
      </w:pPr>
    </w:p>
    <w:p w:rsidR="004A165E" w:rsidRDefault="004A165E" w:rsidP="00F20757">
      <w:pPr>
        <w:pStyle w:val="Akapitzlist"/>
        <w:numPr>
          <w:ilvl w:val="0"/>
          <w:numId w:val="1"/>
        </w:numPr>
        <w:ind w:left="360"/>
        <w:rPr>
          <w:b/>
          <w:bCs/>
        </w:rPr>
      </w:pPr>
      <w:r>
        <w:rPr>
          <w:b/>
          <w:bCs/>
        </w:rPr>
        <w:t>Expected results and possible risks</w:t>
      </w:r>
    </w:p>
    <w:p w:rsidR="00763A93" w:rsidRDefault="00763A93" w:rsidP="00763A93">
      <w:pPr>
        <w:pStyle w:val="Akapitzlist"/>
        <w:ind w:left="360"/>
        <w:rPr>
          <w:b/>
          <w:bCs/>
        </w:rPr>
      </w:pPr>
    </w:p>
    <w:p w:rsidR="004A165E" w:rsidRDefault="004A165E" w:rsidP="00631A9F">
      <w:pPr>
        <w:pStyle w:val="Akapitzlist"/>
        <w:numPr>
          <w:ilvl w:val="1"/>
          <w:numId w:val="1"/>
        </w:numPr>
        <w:ind w:left="0" w:firstLine="0"/>
        <w:rPr>
          <w:b/>
        </w:rPr>
      </w:pPr>
      <w:r w:rsidRPr="00436769">
        <w:rPr>
          <w:b/>
        </w:rPr>
        <w:t>Expected scientific impact of the research</w:t>
      </w:r>
    </w:p>
    <w:p w:rsidR="00E32576" w:rsidRDefault="00E32576" w:rsidP="00E32576">
      <w:pPr>
        <w:pStyle w:val="Akapitzlist"/>
        <w:jc w:val="both"/>
      </w:pPr>
    </w:p>
    <w:p w:rsidR="0077497C" w:rsidRDefault="00E32576" w:rsidP="00D71C64">
      <w:pPr>
        <w:pStyle w:val="Akapitzlist"/>
        <w:ind w:left="0"/>
        <w:jc w:val="both"/>
      </w:pPr>
      <w:r w:rsidRPr="0012792D">
        <w:t xml:space="preserve">The analysis conducted in the project will prove insight into the methane emission </w:t>
      </w:r>
      <w:r w:rsidR="00931797">
        <w:t xml:space="preserve">temporal and spatial </w:t>
      </w:r>
      <w:r w:rsidRPr="0012792D">
        <w:t xml:space="preserve">dynamics and will be important for development of methane emission models (e.g. Watts et al., 2013) to be used in Earth System Models. </w:t>
      </w:r>
      <w:r w:rsidR="0077497C">
        <w:t>U</w:t>
      </w:r>
      <w:r w:rsidRPr="0012792D">
        <w:t xml:space="preserve">nderstanding </w:t>
      </w:r>
      <w:r w:rsidR="008F6159">
        <w:t>the temporal dynamics of</w:t>
      </w:r>
      <w:r w:rsidR="00931797">
        <w:t xml:space="preserve"> </w:t>
      </w:r>
      <w:r w:rsidR="0077497C">
        <w:t xml:space="preserve">GHG flux rates </w:t>
      </w:r>
      <w:r w:rsidR="00931797">
        <w:t xml:space="preserve">of a </w:t>
      </w:r>
      <w:proofErr w:type="spellStart"/>
      <w:r w:rsidR="00931797">
        <w:t>peatland</w:t>
      </w:r>
      <w:proofErr w:type="spellEnd"/>
      <w:r w:rsidR="00931797">
        <w:t xml:space="preserve"> ecosystem </w:t>
      </w:r>
      <w:r w:rsidR="008F6159">
        <w:t>at</w:t>
      </w:r>
      <w:r w:rsidR="00931797">
        <w:t xml:space="preserve"> different temporal stages after the abandonment of agriculture represents a </w:t>
      </w:r>
      <w:r w:rsidR="008F6159">
        <w:t>valuable study case</w:t>
      </w:r>
      <w:r w:rsidR="00931797">
        <w:t xml:space="preserve"> </w:t>
      </w:r>
      <w:r w:rsidR="008F6159">
        <w:t>the results of which</w:t>
      </w:r>
      <w:r w:rsidR="00931797">
        <w:t xml:space="preserve"> can be </w:t>
      </w:r>
      <w:r w:rsidR="008F6159">
        <w:t>exploited</w:t>
      </w:r>
      <w:r w:rsidR="00931797">
        <w:t xml:space="preserve"> widely </w:t>
      </w:r>
      <w:r w:rsidR="008F6159">
        <w:t xml:space="preserve">to make projections of GHG fluxes over </w:t>
      </w:r>
      <w:proofErr w:type="spellStart"/>
      <w:r w:rsidR="008F6159">
        <w:t>peatland</w:t>
      </w:r>
      <w:proofErr w:type="spellEnd"/>
      <w:r w:rsidR="008F6159">
        <w:t xml:space="preserve"> areas interested by </w:t>
      </w:r>
      <w:proofErr w:type="spellStart"/>
      <w:r w:rsidR="008F6159">
        <w:t>renaturalization</w:t>
      </w:r>
      <w:proofErr w:type="spellEnd"/>
      <w:r w:rsidR="008F6159">
        <w:t>.</w:t>
      </w:r>
    </w:p>
    <w:p w:rsidR="00E32576" w:rsidRDefault="00E32576" w:rsidP="00E32576">
      <w:pPr>
        <w:rPr>
          <w:b/>
        </w:rPr>
      </w:pPr>
    </w:p>
    <w:p w:rsidR="00E32576" w:rsidRPr="00E32576" w:rsidRDefault="00E32576" w:rsidP="00E32576">
      <w:pPr>
        <w:rPr>
          <w:b/>
        </w:rPr>
      </w:pPr>
    </w:p>
    <w:p w:rsidR="004A165E" w:rsidRDefault="004A165E" w:rsidP="00D71C64">
      <w:pPr>
        <w:pStyle w:val="Akapitzlist"/>
        <w:numPr>
          <w:ilvl w:val="1"/>
          <w:numId w:val="1"/>
        </w:numPr>
        <w:ind w:left="0" w:firstLine="0"/>
        <w:rPr>
          <w:b/>
        </w:rPr>
      </w:pPr>
      <w:r w:rsidRPr="00436769">
        <w:rPr>
          <w:b/>
        </w:rPr>
        <w:lastRenderedPageBreak/>
        <w:t>Applicability and feasibility of the research results</w:t>
      </w:r>
    </w:p>
    <w:p w:rsidR="00B04610" w:rsidRDefault="00B04610" w:rsidP="00B04610">
      <w:pPr>
        <w:pStyle w:val="Akapitzlist"/>
        <w:ind w:left="0"/>
        <w:rPr>
          <w:b/>
        </w:rPr>
      </w:pPr>
    </w:p>
    <w:p w:rsidR="004E1471" w:rsidRPr="00567D70" w:rsidRDefault="006369CA" w:rsidP="00763A93">
      <w:pPr>
        <w:pStyle w:val="Akapitzlist"/>
        <w:ind w:left="142"/>
        <w:jc w:val="both"/>
      </w:pPr>
      <w:r w:rsidRPr="00567D70">
        <w:t xml:space="preserve">Results can be used for improving the parameterization of existing ecosystem biogeochemical models of </w:t>
      </w:r>
      <w:r w:rsidR="00567D70">
        <w:t>CO</w:t>
      </w:r>
      <w:r w:rsidR="00567D70" w:rsidRPr="00D20D61">
        <w:rPr>
          <w:vertAlign w:val="subscript"/>
        </w:rPr>
        <w:t>2</w:t>
      </w:r>
      <w:r w:rsidR="00567D70">
        <w:t>/CH</w:t>
      </w:r>
      <w:r w:rsidR="00567D70" w:rsidRPr="00D20D61">
        <w:rPr>
          <w:vertAlign w:val="subscript"/>
        </w:rPr>
        <w:t>4</w:t>
      </w:r>
      <w:r w:rsidR="00567D70">
        <w:t xml:space="preserve"> fluxes</w:t>
      </w:r>
      <w:r w:rsidR="00763A93">
        <w:t xml:space="preserve"> and to assess the relative changes in GHG fluxes of recovering temperate wetlands after land use change.   </w:t>
      </w:r>
    </w:p>
    <w:p w:rsidR="00D9570D" w:rsidRPr="00436769" w:rsidRDefault="00D9570D" w:rsidP="00D9570D">
      <w:pPr>
        <w:pStyle w:val="Akapitzlist"/>
        <w:ind w:left="1080"/>
        <w:rPr>
          <w:b/>
        </w:rPr>
      </w:pPr>
    </w:p>
    <w:p w:rsidR="004E1471" w:rsidRPr="004E1471" w:rsidRDefault="004A165E" w:rsidP="00D71C64">
      <w:pPr>
        <w:pStyle w:val="Akapitzlist"/>
        <w:numPr>
          <w:ilvl w:val="1"/>
          <w:numId w:val="1"/>
        </w:numPr>
        <w:ind w:left="0" w:firstLine="0"/>
        <w:rPr>
          <w:i/>
        </w:rPr>
      </w:pPr>
      <w:r w:rsidRPr="004E1471">
        <w:rPr>
          <w:b/>
        </w:rPr>
        <w:t>Publication pla</w:t>
      </w:r>
      <w:r w:rsidR="004E1471">
        <w:rPr>
          <w:b/>
        </w:rPr>
        <w:t>n</w:t>
      </w:r>
      <w:r w:rsidR="00567D70">
        <w:rPr>
          <w:b/>
        </w:rPr>
        <w:t xml:space="preserve"> –tentative titles</w:t>
      </w:r>
    </w:p>
    <w:p w:rsidR="00D71C64" w:rsidRDefault="004E1471" w:rsidP="005453BB">
      <w:pPr>
        <w:pStyle w:val="Akapitzlist"/>
        <w:ind w:left="0"/>
        <w:rPr>
          <w:i/>
        </w:rPr>
      </w:pPr>
      <w:r w:rsidRPr="004E1471">
        <w:rPr>
          <w:b/>
        </w:rPr>
        <w:br/>
      </w:r>
      <w:r w:rsidR="003C753A">
        <w:rPr>
          <w:i/>
        </w:rPr>
        <w:t xml:space="preserve">1. </w:t>
      </w:r>
      <w:r w:rsidRPr="004E1471">
        <w:rPr>
          <w:i/>
        </w:rPr>
        <w:t>“</w:t>
      </w:r>
      <w:r w:rsidR="00477C6F">
        <w:rPr>
          <w:i/>
        </w:rPr>
        <w:t xml:space="preserve">The influence of </w:t>
      </w:r>
      <w:r w:rsidR="00477C6F" w:rsidRPr="004E1471">
        <w:rPr>
          <w:i/>
        </w:rPr>
        <w:t xml:space="preserve">spatial </w:t>
      </w:r>
      <w:r w:rsidR="00477C6F">
        <w:rPr>
          <w:i/>
        </w:rPr>
        <w:t xml:space="preserve">variability </w:t>
      </w:r>
      <w:r w:rsidR="00477C6F" w:rsidRPr="004E1471">
        <w:rPr>
          <w:i/>
        </w:rPr>
        <w:t xml:space="preserve">and temporal </w:t>
      </w:r>
      <w:r w:rsidR="00477C6F">
        <w:rPr>
          <w:i/>
        </w:rPr>
        <w:t>dynamics</w:t>
      </w:r>
      <w:r w:rsidR="00477C6F" w:rsidRPr="004E1471">
        <w:rPr>
          <w:i/>
        </w:rPr>
        <w:t xml:space="preserve"> of vegetation cover</w:t>
      </w:r>
      <w:r w:rsidR="00477C6F">
        <w:rPr>
          <w:i/>
        </w:rPr>
        <w:t xml:space="preserve"> on the </w:t>
      </w:r>
      <w:r w:rsidR="00477C6F" w:rsidRPr="004E1471">
        <w:rPr>
          <w:i/>
        </w:rPr>
        <w:t xml:space="preserve">GHG balance </w:t>
      </w:r>
      <w:r w:rsidR="00477C6F">
        <w:rPr>
          <w:i/>
        </w:rPr>
        <w:t>of a peat meadow.”</w:t>
      </w:r>
    </w:p>
    <w:p w:rsidR="00567D70" w:rsidRDefault="00567D70" w:rsidP="005453BB">
      <w:pPr>
        <w:pStyle w:val="Akapitzlist"/>
        <w:ind w:left="0"/>
        <w:rPr>
          <w:i/>
        </w:rPr>
      </w:pPr>
    </w:p>
    <w:p w:rsidR="00D9570D" w:rsidRDefault="003C753A" w:rsidP="00FC68DC">
      <w:pPr>
        <w:pStyle w:val="Akapitzlist"/>
        <w:ind w:left="0"/>
        <w:rPr>
          <w:b/>
        </w:rPr>
      </w:pPr>
      <w:r>
        <w:rPr>
          <w:i/>
        </w:rPr>
        <w:t xml:space="preserve">2. </w:t>
      </w:r>
      <w:r w:rsidR="00D71C64">
        <w:rPr>
          <w:i/>
        </w:rPr>
        <w:t>“</w:t>
      </w:r>
      <w:r w:rsidR="007A58A6">
        <w:rPr>
          <w:i/>
        </w:rPr>
        <w:t>C</w:t>
      </w:r>
      <w:r w:rsidR="00D71C64" w:rsidRPr="00D71C64">
        <w:rPr>
          <w:i/>
        </w:rPr>
        <w:t>o</w:t>
      </w:r>
      <w:r w:rsidR="007A58A6">
        <w:rPr>
          <w:i/>
        </w:rPr>
        <w:t xml:space="preserve">ntribution </w:t>
      </w:r>
      <w:r w:rsidR="00D71C64" w:rsidRPr="00D71C64">
        <w:rPr>
          <w:i/>
        </w:rPr>
        <w:t>of ebullition to CH</w:t>
      </w:r>
      <w:r w:rsidR="00D71C64" w:rsidRPr="00D20D61">
        <w:rPr>
          <w:i/>
          <w:vertAlign w:val="subscript"/>
        </w:rPr>
        <w:t>4</w:t>
      </w:r>
      <w:r w:rsidR="00D71C64" w:rsidRPr="00D71C64">
        <w:rPr>
          <w:i/>
        </w:rPr>
        <w:t xml:space="preserve"> emissions from </w:t>
      </w:r>
      <w:r w:rsidR="007A58A6">
        <w:rPr>
          <w:i/>
        </w:rPr>
        <w:t xml:space="preserve">the </w:t>
      </w:r>
      <w:bookmarkStart w:id="0" w:name="_GoBack"/>
      <w:bookmarkEnd w:id="0"/>
      <w:r w:rsidR="00D71C64" w:rsidRPr="00D71C64">
        <w:rPr>
          <w:i/>
        </w:rPr>
        <w:t xml:space="preserve">ditches </w:t>
      </w:r>
      <w:r w:rsidR="007A58A6">
        <w:rPr>
          <w:i/>
        </w:rPr>
        <w:t xml:space="preserve">of a Dutch </w:t>
      </w:r>
      <w:proofErr w:type="spellStart"/>
      <w:r w:rsidR="007A58A6">
        <w:rPr>
          <w:i/>
        </w:rPr>
        <w:t>peatland</w:t>
      </w:r>
      <w:proofErr w:type="spellEnd"/>
      <w:r w:rsidR="00D71C64">
        <w:rPr>
          <w:i/>
        </w:rPr>
        <w:t>”</w:t>
      </w:r>
      <w:r w:rsidR="00D71C64" w:rsidRPr="00D71C64">
        <w:rPr>
          <w:i/>
        </w:rPr>
        <w:t xml:space="preserve"> </w:t>
      </w:r>
    </w:p>
    <w:p w:rsidR="00C14187" w:rsidRPr="00436769" w:rsidRDefault="00C14187" w:rsidP="00D9570D">
      <w:pPr>
        <w:pStyle w:val="Akapitzlist"/>
        <w:ind w:left="1080"/>
        <w:rPr>
          <w:b/>
        </w:rPr>
      </w:pPr>
    </w:p>
    <w:p w:rsidR="004A165E" w:rsidRDefault="004A165E" w:rsidP="005453BB">
      <w:pPr>
        <w:pStyle w:val="Akapitzlist"/>
        <w:numPr>
          <w:ilvl w:val="1"/>
          <w:numId w:val="1"/>
        </w:numPr>
        <w:ind w:left="0" w:firstLine="0"/>
        <w:rPr>
          <w:b/>
        </w:rPr>
      </w:pPr>
      <w:r w:rsidRPr="00436769">
        <w:rPr>
          <w:b/>
        </w:rPr>
        <w:t>Data access plan</w:t>
      </w:r>
    </w:p>
    <w:p w:rsidR="00D9570D" w:rsidRPr="00D9570D" w:rsidRDefault="00D9570D" w:rsidP="005453BB">
      <w:pPr>
        <w:pStyle w:val="Akapitzlist"/>
        <w:ind w:left="0"/>
      </w:pPr>
      <w:r w:rsidRPr="00D9570D">
        <w:t>Eddy covariance (NEE flux) and plot scale flux measurements (NEE, CH</w:t>
      </w:r>
      <w:r w:rsidRPr="00D20D61">
        <w:rPr>
          <w:vertAlign w:val="subscript"/>
        </w:rPr>
        <w:t>4</w:t>
      </w:r>
      <w:r w:rsidRPr="00D9570D">
        <w:t>) will be delivered to the European Flux Database (http://gaia.agraria.unitus.it) in the first trimester of 2015.</w:t>
      </w:r>
    </w:p>
    <w:p w:rsidR="004A165E" w:rsidRPr="007940B2" w:rsidRDefault="004A165E" w:rsidP="007940B2">
      <w:pPr>
        <w:rPr>
          <w:b/>
          <w:bCs/>
        </w:rPr>
      </w:pPr>
    </w:p>
    <w:p w:rsidR="00A87654" w:rsidRPr="00657FCD" w:rsidRDefault="004A165E" w:rsidP="00485BC9">
      <w:pPr>
        <w:pStyle w:val="Akapitzlist"/>
        <w:numPr>
          <w:ilvl w:val="0"/>
          <w:numId w:val="1"/>
        </w:numPr>
        <w:ind w:left="360"/>
        <w:rPr>
          <w:bCs/>
        </w:rPr>
      </w:pPr>
      <w:r w:rsidRPr="00657FCD">
        <w:rPr>
          <w:b/>
          <w:bCs/>
        </w:rPr>
        <w:t>Key literature</w:t>
      </w:r>
    </w:p>
    <w:p w:rsidR="00A87654" w:rsidRPr="00CC393B" w:rsidRDefault="00A87654" w:rsidP="00485BC9">
      <w:pPr>
        <w:rPr>
          <w:bCs/>
          <w:sz w:val="20"/>
          <w:szCs w:val="20"/>
        </w:rPr>
      </w:pPr>
    </w:p>
    <w:p w:rsidR="0025482C" w:rsidRPr="00985D4E" w:rsidRDefault="0025482C" w:rsidP="00B327A5">
      <w:pPr>
        <w:jc w:val="both"/>
        <w:rPr>
          <w:sz w:val="18"/>
          <w:szCs w:val="18"/>
        </w:rPr>
      </w:pPr>
      <w:proofErr w:type="spellStart"/>
      <w:r w:rsidRPr="00985D4E">
        <w:rPr>
          <w:sz w:val="18"/>
          <w:szCs w:val="18"/>
        </w:rPr>
        <w:t>Chojnicki</w:t>
      </w:r>
      <w:proofErr w:type="spellEnd"/>
      <w:r w:rsidRPr="00985D4E">
        <w:rPr>
          <w:sz w:val="18"/>
          <w:szCs w:val="18"/>
        </w:rPr>
        <w:t xml:space="preserve"> B.H.,  </w:t>
      </w:r>
      <w:proofErr w:type="spellStart"/>
      <w:r w:rsidRPr="00985D4E">
        <w:rPr>
          <w:sz w:val="18"/>
          <w:szCs w:val="18"/>
        </w:rPr>
        <w:t>Michalak</w:t>
      </w:r>
      <w:proofErr w:type="spellEnd"/>
      <w:r w:rsidRPr="00985D4E">
        <w:rPr>
          <w:sz w:val="18"/>
          <w:szCs w:val="18"/>
        </w:rPr>
        <w:t xml:space="preserve"> M., </w:t>
      </w:r>
      <w:proofErr w:type="spellStart"/>
      <w:r w:rsidRPr="00985D4E">
        <w:rPr>
          <w:sz w:val="18"/>
          <w:szCs w:val="18"/>
        </w:rPr>
        <w:t>Konieczna</w:t>
      </w:r>
      <w:proofErr w:type="spellEnd"/>
      <w:r w:rsidRPr="00985D4E">
        <w:rPr>
          <w:sz w:val="18"/>
          <w:szCs w:val="18"/>
        </w:rPr>
        <w:t xml:space="preserve"> N., </w:t>
      </w:r>
      <w:proofErr w:type="spellStart"/>
      <w:r w:rsidRPr="00985D4E">
        <w:rPr>
          <w:sz w:val="18"/>
          <w:szCs w:val="18"/>
        </w:rPr>
        <w:t>Olejnik</w:t>
      </w:r>
      <w:proofErr w:type="spellEnd"/>
      <w:r w:rsidRPr="00985D4E">
        <w:rPr>
          <w:sz w:val="18"/>
          <w:szCs w:val="18"/>
        </w:rPr>
        <w:t xml:space="preserve"> J. 2012: Sedge community (</w:t>
      </w:r>
      <w:proofErr w:type="spellStart"/>
      <w:r w:rsidRPr="00985D4E">
        <w:rPr>
          <w:sz w:val="18"/>
          <w:szCs w:val="18"/>
        </w:rPr>
        <w:t>Caricetum</w:t>
      </w:r>
      <w:proofErr w:type="spellEnd"/>
      <w:r w:rsidRPr="00985D4E">
        <w:rPr>
          <w:sz w:val="18"/>
          <w:szCs w:val="18"/>
        </w:rPr>
        <w:t xml:space="preserve"> </w:t>
      </w:r>
      <w:proofErr w:type="spellStart"/>
      <w:r w:rsidRPr="00985D4E">
        <w:rPr>
          <w:sz w:val="18"/>
          <w:szCs w:val="18"/>
        </w:rPr>
        <w:t>elatae</w:t>
      </w:r>
      <w:proofErr w:type="spellEnd"/>
      <w:r w:rsidRPr="00985D4E">
        <w:rPr>
          <w:sz w:val="18"/>
          <w:szCs w:val="18"/>
        </w:rPr>
        <w:t xml:space="preserve">) seasonal above ground biomass and carbon dioxide exchange runs at </w:t>
      </w:r>
      <w:proofErr w:type="spellStart"/>
      <w:r w:rsidRPr="00985D4E">
        <w:rPr>
          <w:sz w:val="18"/>
          <w:szCs w:val="18"/>
        </w:rPr>
        <w:t>Rzecin</w:t>
      </w:r>
      <w:proofErr w:type="spellEnd"/>
      <w:r w:rsidRPr="00985D4E">
        <w:rPr>
          <w:sz w:val="18"/>
          <w:szCs w:val="18"/>
        </w:rPr>
        <w:t xml:space="preserve"> </w:t>
      </w:r>
      <w:proofErr w:type="spellStart"/>
      <w:r w:rsidRPr="00985D4E">
        <w:rPr>
          <w:sz w:val="18"/>
          <w:szCs w:val="18"/>
        </w:rPr>
        <w:t>wetland.Polish</w:t>
      </w:r>
      <w:proofErr w:type="spellEnd"/>
      <w:r w:rsidRPr="00985D4E">
        <w:rPr>
          <w:sz w:val="18"/>
          <w:szCs w:val="18"/>
        </w:rPr>
        <w:t xml:space="preserve"> Journal of Environmental Study,Vol.21, No.3, 579-587.</w:t>
      </w:r>
    </w:p>
    <w:p w:rsidR="00B327A5" w:rsidRPr="00985D4E" w:rsidRDefault="00B327A5" w:rsidP="00B327A5">
      <w:pPr>
        <w:jc w:val="both"/>
        <w:rPr>
          <w:sz w:val="18"/>
          <w:szCs w:val="18"/>
        </w:rPr>
      </w:pPr>
    </w:p>
    <w:p w:rsidR="00B327A5" w:rsidRPr="00985D4E" w:rsidRDefault="00B327A5" w:rsidP="00B327A5">
      <w:pPr>
        <w:jc w:val="both"/>
        <w:rPr>
          <w:sz w:val="18"/>
          <w:szCs w:val="18"/>
        </w:rPr>
      </w:pPr>
      <w:r w:rsidRPr="00985D4E">
        <w:rPr>
          <w:sz w:val="18"/>
          <w:szCs w:val="18"/>
        </w:rPr>
        <w:t xml:space="preserve">Denman </w:t>
      </w:r>
      <w:proofErr w:type="spellStart"/>
      <w:r w:rsidRPr="00985D4E">
        <w:rPr>
          <w:sz w:val="18"/>
          <w:szCs w:val="18"/>
        </w:rPr>
        <w:t>K.L.,Brasseur</w:t>
      </w:r>
      <w:proofErr w:type="spellEnd"/>
      <w:r w:rsidRPr="00985D4E">
        <w:rPr>
          <w:sz w:val="18"/>
          <w:szCs w:val="18"/>
        </w:rPr>
        <w:t xml:space="preserve"> </w:t>
      </w:r>
      <w:proofErr w:type="spellStart"/>
      <w:r w:rsidRPr="00985D4E">
        <w:rPr>
          <w:sz w:val="18"/>
          <w:szCs w:val="18"/>
        </w:rPr>
        <w:t>G.,Chidthaisong</w:t>
      </w:r>
      <w:proofErr w:type="spellEnd"/>
      <w:r w:rsidRPr="00985D4E">
        <w:rPr>
          <w:sz w:val="18"/>
          <w:szCs w:val="18"/>
        </w:rPr>
        <w:t xml:space="preserve"> A., </w:t>
      </w:r>
      <w:proofErr w:type="spellStart"/>
      <w:r w:rsidRPr="00985D4E">
        <w:rPr>
          <w:sz w:val="18"/>
          <w:szCs w:val="18"/>
        </w:rPr>
        <w:t>Ciais</w:t>
      </w:r>
      <w:proofErr w:type="spellEnd"/>
      <w:r w:rsidRPr="00985D4E">
        <w:rPr>
          <w:sz w:val="18"/>
          <w:szCs w:val="18"/>
        </w:rPr>
        <w:t xml:space="preserve"> P., Cox P.M., Dickinson R.E., </w:t>
      </w:r>
      <w:proofErr w:type="spellStart"/>
      <w:r w:rsidRPr="00985D4E">
        <w:rPr>
          <w:sz w:val="18"/>
          <w:szCs w:val="18"/>
        </w:rPr>
        <w:t>Hauglustaine</w:t>
      </w:r>
      <w:proofErr w:type="spellEnd"/>
      <w:r w:rsidRPr="00985D4E">
        <w:rPr>
          <w:sz w:val="18"/>
          <w:szCs w:val="18"/>
        </w:rPr>
        <w:t xml:space="preserve"> D., </w:t>
      </w:r>
      <w:proofErr w:type="spellStart"/>
      <w:r w:rsidRPr="00985D4E">
        <w:rPr>
          <w:sz w:val="18"/>
          <w:szCs w:val="18"/>
        </w:rPr>
        <w:t>Heinze</w:t>
      </w:r>
      <w:proofErr w:type="spellEnd"/>
      <w:r w:rsidRPr="00985D4E">
        <w:rPr>
          <w:sz w:val="18"/>
          <w:szCs w:val="18"/>
        </w:rPr>
        <w:t xml:space="preserve"> C., Holland E., Jacob D., </w:t>
      </w:r>
      <w:proofErr w:type="spellStart"/>
      <w:r w:rsidRPr="00985D4E">
        <w:rPr>
          <w:sz w:val="18"/>
          <w:szCs w:val="18"/>
        </w:rPr>
        <w:t>Lohmann</w:t>
      </w:r>
      <w:proofErr w:type="spellEnd"/>
      <w:r w:rsidRPr="00985D4E">
        <w:rPr>
          <w:sz w:val="18"/>
          <w:szCs w:val="18"/>
        </w:rPr>
        <w:t xml:space="preserve"> U., </w:t>
      </w:r>
      <w:proofErr w:type="spellStart"/>
      <w:r w:rsidRPr="00985D4E">
        <w:rPr>
          <w:sz w:val="18"/>
          <w:szCs w:val="18"/>
        </w:rPr>
        <w:t>Ramachandram</w:t>
      </w:r>
      <w:proofErr w:type="spellEnd"/>
      <w:r w:rsidRPr="00985D4E">
        <w:rPr>
          <w:sz w:val="18"/>
          <w:szCs w:val="18"/>
        </w:rPr>
        <w:t xml:space="preserve"> S., </w:t>
      </w:r>
      <w:proofErr w:type="spellStart"/>
      <w:r w:rsidRPr="00985D4E">
        <w:rPr>
          <w:sz w:val="18"/>
          <w:szCs w:val="18"/>
        </w:rPr>
        <w:t>da</w:t>
      </w:r>
      <w:proofErr w:type="spellEnd"/>
      <w:r w:rsidRPr="00985D4E">
        <w:rPr>
          <w:sz w:val="18"/>
          <w:szCs w:val="18"/>
        </w:rPr>
        <w:t xml:space="preserve"> Silva Dias P.L., </w:t>
      </w:r>
      <w:proofErr w:type="spellStart"/>
      <w:r w:rsidRPr="00985D4E">
        <w:rPr>
          <w:sz w:val="18"/>
          <w:szCs w:val="18"/>
        </w:rPr>
        <w:t>Wofsy</w:t>
      </w:r>
      <w:proofErr w:type="spellEnd"/>
      <w:r w:rsidRPr="00985D4E">
        <w:rPr>
          <w:sz w:val="18"/>
          <w:szCs w:val="18"/>
        </w:rPr>
        <w:t xml:space="preserve"> S.C. and Zhang X.: Coupling between changes in the climate system </w:t>
      </w:r>
      <w:proofErr w:type="spellStart"/>
      <w:r w:rsidRPr="00985D4E">
        <w:rPr>
          <w:sz w:val="18"/>
          <w:szCs w:val="18"/>
        </w:rPr>
        <w:t>andbiogeochemistry</w:t>
      </w:r>
      <w:proofErr w:type="spellEnd"/>
      <w:r w:rsidRPr="00985D4E">
        <w:rPr>
          <w:sz w:val="18"/>
          <w:szCs w:val="18"/>
        </w:rPr>
        <w:t>. In: Climate change 2007: The physical science</w:t>
      </w:r>
    </w:p>
    <w:p w:rsidR="00B327A5" w:rsidRPr="00985D4E" w:rsidRDefault="00B327A5" w:rsidP="00B327A5">
      <w:pPr>
        <w:jc w:val="both"/>
        <w:rPr>
          <w:sz w:val="18"/>
          <w:szCs w:val="18"/>
        </w:rPr>
      </w:pPr>
      <w:r w:rsidRPr="00985D4E">
        <w:rPr>
          <w:sz w:val="18"/>
          <w:szCs w:val="18"/>
        </w:rPr>
        <w:t xml:space="preserve">basis (Eds.: Solomon S., Qin D., Manning M., Chen Z., Marquis M., </w:t>
      </w:r>
      <w:proofErr w:type="spellStart"/>
      <w:r w:rsidRPr="00985D4E">
        <w:rPr>
          <w:sz w:val="18"/>
          <w:szCs w:val="18"/>
        </w:rPr>
        <w:t>Averyt</w:t>
      </w:r>
      <w:proofErr w:type="spellEnd"/>
      <w:r w:rsidRPr="00985D4E">
        <w:rPr>
          <w:sz w:val="18"/>
          <w:szCs w:val="18"/>
        </w:rPr>
        <w:t xml:space="preserve"> K.B., </w:t>
      </w:r>
      <w:proofErr w:type="spellStart"/>
      <w:r w:rsidRPr="00985D4E">
        <w:rPr>
          <w:sz w:val="18"/>
          <w:szCs w:val="18"/>
        </w:rPr>
        <w:t>Tignor</w:t>
      </w:r>
      <w:proofErr w:type="spellEnd"/>
      <w:r w:rsidRPr="00985D4E">
        <w:rPr>
          <w:sz w:val="18"/>
          <w:szCs w:val="18"/>
        </w:rPr>
        <w:t xml:space="preserve"> M. and H.L. Miller).Contribution of Working Group I to the Fourth Assessment Report of the Intergovernmental Panel on</w:t>
      </w:r>
    </w:p>
    <w:p w:rsidR="00B327A5" w:rsidRPr="00985D4E" w:rsidRDefault="00B327A5" w:rsidP="00B327A5">
      <w:pPr>
        <w:jc w:val="both"/>
        <w:rPr>
          <w:sz w:val="18"/>
          <w:szCs w:val="18"/>
        </w:rPr>
      </w:pPr>
      <w:r w:rsidRPr="00985D4E">
        <w:rPr>
          <w:sz w:val="18"/>
          <w:szCs w:val="18"/>
        </w:rPr>
        <w:t xml:space="preserve">Climate Change. Cambridge, UK/New York: Cambridge University </w:t>
      </w:r>
      <w:proofErr w:type="spellStart"/>
      <w:r w:rsidRPr="00985D4E">
        <w:rPr>
          <w:sz w:val="18"/>
          <w:szCs w:val="18"/>
        </w:rPr>
        <w:t>Press.pp</w:t>
      </w:r>
      <w:proofErr w:type="spellEnd"/>
      <w:r w:rsidRPr="00985D4E">
        <w:rPr>
          <w:sz w:val="18"/>
          <w:szCs w:val="18"/>
        </w:rPr>
        <w:t>. 499-587, 2007.</w:t>
      </w:r>
    </w:p>
    <w:p w:rsidR="0025482C" w:rsidRPr="00985D4E" w:rsidRDefault="0025482C" w:rsidP="00B327A5">
      <w:pPr>
        <w:jc w:val="both"/>
        <w:rPr>
          <w:sz w:val="18"/>
          <w:szCs w:val="18"/>
        </w:rPr>
      </w:pPr>
    </w:p>
    <w:p w:rsidR="008256B2" w:rsidRPr="00985D4E" w:rsidRDefault="008256B2" w:rsidP="00B327A5">
      <w:pPr>
        <w:jc w:val="both"/>
        <w:rPr>
          <w:sz w:val="18"/>
          <w:szCs w:val="18"/>
        </w:rPr>
      </w:pPr>
      <w:proofErr w:type="spellStart"/>
      <w:r w:rsidRPr="00985D4E">
        <w:rPr>
          <w:sz w:val="18"/>
          <w:szCs w:val="18"/>
        </w:rPr>
        <w:t>Drösler</w:t>
      </w:r>
      <w:proofErr w:type="spellEnd"/>
      <w:r w:rsidRPr="00985D4E">
        <w:rPr>
          <w:sz w:val="18"/>
          <w:szCs w:val="18"/>
        </w:rPr>
        <w:t xml:space="preserve">, M., </w:t>
      </w:r>
      <w:proofErr w:type="spellStart"/>
      <w:r w:rsidRPr="00985D4E">
        <w:rPr>
          <w:sz w:val="18"/>
          <w:szCs w:val="18"/>
        </w:rPr>
        <w:t>Freibauer</w:t>
      </w:r>
      <w:proofErr w:type="spellEnd"/>
      <w:r w:rsidRPr="00985D4E">
        <w:rPr>
          <w:sz w:val="18"/>
          <w:szCs w:val="18"/>
        </w:rPr>
        <w:t xml:space="preserve">, A., Christensen, T.R., </w:t>
      </w:r>
      <w:proofErr w:type="spellStart"/>
      <w:r w:rsidRPr="00985D4E">
        <w:rPr>
          <w:sz w:val="18"/>
          <w:szCs w:val="18"/>
        </w:rPr>
        <w:t>Friborg</w:t>
      </w:r>
      <w:proofErr w:type="spellEnd"/>
      <w:r w:rsidRPr="00985D4E">
        <w:rPr>
          <w:sz w:val="18"/>
          <w:szCs w:val="18"/>
        </w:rPr>
        <w:t xml:space="preserve">, T., 2008: Observations and status of </w:t>
      </w:r>
      <w:proofErr w:type="spellStart"/>
      <w:r w:rsidRPr="00985D4E">
        <w:rPr>
          <w:sz w:val="18"/>
          <w:szCs w:val="18"/>
        </w:rPr>
        <w:t>peatland</w:t>
      </w:r>
      <w:proofErr w:type="spellEnd"/>
      <w:r w:rsidRPr="00985D4E">
        <w:rPr>
          <w:sz w:val="18"/>
          <w:szCs w:val="18"/>
        </w:rPr>
        <w:t xml:space="preserve"> greenhouse gas emissions in Europe. In: Dolman AJ, </w:t>
      </w:r>
      <w:proofErr w:type="spellStart"/>
      <w:r w:rsidRPr="00985D4E">
        <w:rPr>
          <w:sz w:val="18"/>
          <w:szCs w:val="18"/>
        </w:rPr>
        <w:t>Valentini</w:t>
      </w:r>
      <w:proofErr w:type="spellEnd"/>
      <w:r w:rsidRPr="00985D4E">
        <w:rPr>
          <w:sz w:val="18"/>
          <w:szCs w:val="18"/>
        </w:rPr>
        <w:t xml:space="preserve"> R, and </w:t>
      </w:r>
      <w:proofErr w:type="spellStart"/>
      <w:r w:rsidRPr="00985D4E">
        <w:rPr>
          <w:sz w:val="18"/>
          <w:szCs w:val="18"/>
        </w:rPr>
        <w:t>Freibauer</w:t>
      </w:r>
      <w:proofErr w:type="spellEnd"/>
      <w:r w:rsidRPr="00985D4E">
        <w:rPr>
          <w:sz w:val="18"/>
          <w:szCs w:val="18"/>
        </w:rPr>
        <w:t xml:space="preserve"> A. Observing the continental scale greenhouse gas balance. Springer Ecological series 203: 243-262.</w:t>
      </w:r>
    </w:p>
    <w:p w:rsidR="00FF4B70" w:rsidRPr="00985D4E" w:rsidRDefault="00FF4B70" w:rsidP="00B327A5">
      <w:pPr>
        <w:jc w:val="both"/>
        <w:rPr>
          <w:sz w:val="18"/>
          <w:szCs w:val="18"/>
        </w:rPr>
      </w:pPr>
    </w:p>
    <w:p w:rsidR="00A87654" w:rsidRPr="00985D4E" w:rsidRDefault="00A87654" w:rsidP="00B327A5">
      <w:pPr>
        <w:jc w:val="both"/>
        <w:rPr>
          <w:sz w:val="18"/>
          <w:szCs w:val="18"/>
        </w:rPr>
      </w:pPr>
      <w:r w:rsidRPr="00985D4E">
        <w:rPr>
          <w:sz w:val="18"/>
          <w:szCs w:val="18"/>
        </w:rPr>
        <w:t xml:space="preserve">Forster, P., V. </w:t>
      </w:r>
      <w:proofErr w:type="spellStart"/>
      <w:r w:rsidRPr="00985D4E">
        <w:rPr>
          <w:sz w:val="18"/>
          <w:szCs w:val="18"/>
        </w:rPr>
        <w:t>Ramaswamy</w:t>
      </w:r>
      <w:proofErr w:type="spellEnd"/>
      <w:r w:rsidRPr="00985D4E">
        <w:rPr>
          <w:sz w:val="18"/>
          <w:szCs w:val="18"/>
        </w:rPr>
        <w:t xml:space="preserve">, P. </w:t>
      </w:r>
      <w:proofErr w:type="spellStart"/>
      <w:r w:rsidRPr="00985D4E">
        <w:rPr>
          <w:sz w:val="18"/>
          <w:szCs w:val="18"/>
        </w:rPr>
        <w:t>Artaxo</w:t>
      </w:r>
      <w:proofErr w:type="spellEnd"/>
      <w:r w:rsidRPr="00985D4E">
        <w:rPr>
          <w:sz w:val="18"/>
          <w:szCs w:val="18"/>
        </w:rPr>
        <w:t xml:space="preserve">, T. </w:t>
      </w:r>
      <w:proofErr w:type="spellStart"/>
      <w:r w:rsidRPr="00985D4E">
        <w:rPr>
          <w:sz w:val="18"/>
          <w:szCs w:val="18"/>
        </w:rPr>
        <w:t>Berntsen</w:t>
      </w:r>
      <w:proofErr w:type="spellEnd"/>
      <w:r w:rsidRPr="00985D4E">
        <w:rPr>
          <w:sz w:val="18"/>
          <w:szCs w:val="18"/>
        </w:rPr>
        <w:t>, R. Betts, D.W. Fahey, J. Haywood, J.</w:t>
      </w:r>
      <w:r w:rsidR="003A7CE9" w:rsidRPr="00985D4E">
        <w:rPr>
          <w:sz w:val="18"/>
          <w:szCs w:val="18"/>
        </w:rPr>
        <w:t xml:space="preserve"> </w:t>
      </w:r>
      <w:r w:rsidRPr="00985D4E">
        <w:rPr>
          <w:sz w:val="18"/>
          <w:szCs w:val="18"/>
        </w:rPr>
        <w:t xml:space="preserve">Lean, D.C. Lowe, G. </w:t>
      </w:r>
      <w:proofErr w:type="spellStart"/>
      <w:r w:rsidRPr="00985D4E">
        <w:rPr>
          <w:sz w:val="18"/>
          <w:szCs w:val="18"/>
        </w:rPr>
        <w:t>Myhre</w:t>
      </w:r>
      <w:proofErr w:type="spellEnd"/>
      <w:r w:rsidRPr="00985D4E">
        <w:rPr>
          <w:sz w:val="18"/>
          <w:szCs w:val="18"/>
        </w:rPr>
        <w:t xml:space="preserve">, J. </w:t>
      </w:r>
      <w:proofErr w:type="spellStart"/>
      <w:r w:rsidRPr="00985D4E">
        <w:rPr>
          <w:sz w:val="18"/>
          <w:szCs w:val="18"/>
        </w:rPr>
        <w:t>Nganga</w:t>
      </w:r>
      <w:proofErr w:type="spellEnd"/>
      <w:r w:rsidRPr="00985D4E">
        <w:rPr>
          <w:sz w:val="18"/>
          <w:szCs w:val="18"/>
        </w:rPr>
        <w:t xml:space="preserve">, R. </w:t>
      </w:r>
      <w:proofErr w:type="spellStart"/>
      <w:r w:rsidRPr="00985D4E">
        <w:rPr>
          <w:sz w:val="18"/>
          <w:szCs w:val="18"/>
        </w:rPr>
        <w:t>Prinn</w:t>
      </w:r>
      <w:proofErr w:type="spellEnd"/>
      <w:r w:rsidRPr="00985D4E">
        <w:rPr>
          <w:sz w:val="18"/>
          <w:szCs w:val="18"/>
        </w:rPr>
        <w:t>, G. Raga, M. Schulz and R. Van</w:t>
      </w:r>
      <w:r w:rsidR="003A7CE9" w:rsidRPr="00985D4E">
        <w:rPr>
          <w:sz w:val="18"/>
          <w:szCs w:val="18"/>
        </w:rPr>
        <w:t xml:space="preserve"> </w:t>
      </w:r>
      <w:r w:rsidRPr="00985D4E">
        <w:rPr>
          <w:sz w:val="18"/>
          <w:szCs w:val="18"/>
        </w:rPr>
        <w:t xml:space="preserve">Dorland, 2007: Changes in Atmospheric Constituents and in </w:t>
      </w:r>
      <w:proofErr w:type="spellStart"/>
      <w:r w:rsidRPr="00985D4E">
        <w:rPr>
          <w:sz w:val="18"/>
          <w:szCs w:val="18"/>
        </w:rPr>
        <w:t>Radiative</w:t>
      </w:r>
      <w:proofErr w:type="spellEnd"/>
      <w:r w:rsidRPr="00985D4E">
        <w:rPr>
          <w:sz w:val="18"/>
          <w:szCs w:val="18"/>
        </w:rPr>
        <w:t xml:space="preserve"> Forcing. In:</w:t>
      </w:r>
      <w:r w:rsidR="003A7CE9" w:rsidRPr="00985D4E">
        <w:rPr>
          <w:sz w:val="18"/>
          <w:szCs w:val="18"/>
        </w:rPr>
        <w:t xml:space="preserve"> </w:t>
      </w:r>
      <w:r w:rsidRPr="00985D4E">
        <w:rPr>
          <w:sz w:val="18"/>
          <w:szCs w:val="18"/>
        </w:rPr>
        <w:t>Climate Change 2007: The Physical Science Basis. Contribution of Working Group I</w:t>
      </w:r>
    </w:p>
    <w:p w:rsidR="00A87654" w:rsidRPr="00985D4E" w:rsidRDefault="00A87654" w:rsidP="00B327A5">
      <w:pPr>
        <w:jc w:val="both"/>
        <w:rPr>
          <w:sz w:val="18"/>
          <w:szCs w:val="18"/>
        </w:rPr>
      </w:pPr>
      <w:r w:rsidRPr="00985D4E">
        <w:rPr>
          <w:sz w:val="18"/>
          <w:szCs w:val="18"/>
        </w:rPr>
        <w:t>to the Fourth Assessment Report of the Intergovernmental Panel on Climate Change</w:t>
      </w:r>
      <w:r w:rsidR="00FC68DC" w:rsidRPr="00985D4E">
        <w:rPr>
          <w:sz w:val="18"/>
          <w:szCs w:val="18"/>
        </w:rPr>
        <w:t>,</w:t>
      </w:r>
      <w:r w:rsidRPr="00985D4E">
        <w:rPr>
          <w:sz w:val="18"/>
          <w:szCs w:val="18"/>
        </w:rPr>
        <w:t xml:space="preserve"> Cambridge University Press</w:t>
      </w:r>
      <w:r w:rsidR="00FC68DC" w:rsidRPr="00985D4E">
        <w:rPr>
          <w:sz w:val="18"/>
          <w:szCs w:val="18"/>
        </w:rPr>
        <w:t>.</w:t>
      </w:r>
    </w:p>
    <w:p w:rsidR="008B479E" w:rsidRPr="00985D4E" w:rsidRDefault="008B479E" w:rsidP="00B327A5">
      <w:pPr>
        <w:jc w:val="both"/>
        <w:rPr>
          <w:sz w:val="18"/>
          <w:szCs w:val="18"/>
        </w:rPr>
      </w:pPr>
    </w:p>
    <w:p w:rsidR="007831B4" w:rsidRPr="00985D4E" w:rsidRDefault="00FC68DC" w:rsidP="00B327A5">
      <w:pPr>
        <w:jc w:val="both"/>
        <w:rPr>
          <w:sz w:val="18"/>
          <w:szCs w:val="18"/>
        </w:rPr>
      </w:pPr>
      <w:proofErr w:type="spellStart"/>
      <w:r w:rsidRPr="00985D4E">
        <w:rPr>
          <w:sz w:val="18"/>
          <w:szCs w:val="18"/>
        </w:rPr>
        <w:t>Hedriks</w:t>
      </w:r>
      <w:proofErr w:type="spellEnd"/>
      <w:r w:rsidRPr="00985D4E">
        <w:rPr>
          <w:sz w:val="18"/>
          <w:szCs w:val="18"/>
        </w:rPr>
        <w:t xml:space="preserve"> D. (</w:t>
      </w:r>
      <w:r w:rsidR="008B479E" w:rsidRPr="00985D4E">
        <w:rPr>
          <w:sz w:val="18"/>
          <w:szCs w:val="18"/>
        </w:rPr>
        <w:t>20</w:t>
      </w:r>
      <w:r w:rsidR="006369CA" w:rsidRPr="00985D4E">
        <w:rPr>
          <w:sz w:val="18"/>
          <w:szCs w:val="18"/>
        </w:rPr>
        <w:t>09</w:t>
      </w:r>
      <w:r w:rsidRPr="00985D4E">
        <w:rPr>
          <w:sz w:val="18"/>
          <w:szCs w:val="18"/>
        </w:rPr>
        <w:t>)</w:t>
      </w:r>
      <w:r w:rsidR="008B479E" w:rsidRPr="00985D4E">
        <w:rPr>
          <w:sz w:val="18"/>
          <w:szCs w:val="18"/>
        </w:rPr>
        <w:t>: Integrated observations of greenhouse gas budgets at the ecosystem level.</w:t>
      </w:r>
      <w:r w:rsidRPr="00985D4E">
        <w:rPr>
          <w:sz w:val="18"/>
          <w:szCs w:val="18"/>
        </w:rPr>
        <w:t xml:space="preserve"> PhD thesis, </w:t>
      </w:r>
      <w:proofErr w:type="spellStart"/>
      <w:r w:rsidRPr="00985D4E">
        <w:rPr>
          <w:sz w:val="18"/>
          <w:szCs w:val="18"/>
        </w:rPr>
        <w:t>Vrije</w:t>
      </w:r>
      <w:proofErr w:type="spellEnd"/>
      <w:r w:rsidRPr="00985D4E">
        <w:rPr>
          <w:sz w:val="18"/>
          <w:szCs w:val="18"/>
        </w:rPr>
        <w:t xml:space="preserve"> </w:t>
      </w:r>
      <w:proofErr w:type="spellStart"/>
      <w:r w:rsidRPr="00985D4E">
        <w:rPr>
          <w:sz w:val="18"/>
          <w:szCs w:val="18"/>
        </w:rPr>
        <w:t>Universiteit</w:t>
      </w:r>
      <w:proofErr w:type="spellEnd"/>
      <w:r w:rsidRPr="00985D4E">
        <w:rPr>
          <w:sz w:val="18"/>
          <w:szCs w:val="18"/>
        </w:rPr>
        <w:t xml:space="preserve"> Amsterdam.</w:t>
      </w:r>
    </w:p>
    <w:p w:rsidR="00BC1D3B" w:rsidRPr="00985D4E" w:rsidRDefault="00BC1D3B" w:rsidP="00B327A5">
      <w:pPr>
        <w:jc w:val="both"/>
        <w:rPr>
          <w:sz w:val="18"/>
          <w:szCs w:val="18"/>
        </w:rPr>
      </w:pPr>
    </w:p>
    <w:p w:rsidR="00C14187" w:rsidRPr="00985D4E" w:rsidRDefault="00C14187" w:rsidP="00B327A5">
      <w:pPr>
        <w:jc w:val="both"/>
        <w:rPr>
          <w:sz w:val="18"/>
          <w:szCs w:val="18"/>
        </w:rPr>
      </w:pPr>
      <w:proofErr w:type="spellStart"/>
      <w:r w:rsidRPr="00985D4E">
        <w:rPr>
          <w:sz w:val="18"/>
          <w:szCs w:val="18"/>
        </w:rPr>
        <w:t>Kowalska</w:t>
      </w:r>
      <w:proofErr w:type="spellEnd"/>
      <w:r w:rsidRPr="00985D4E">
        <w:rPr>
          <w:sz w:val="18"/>
          <w:szCs w:val="18"/>
        </w:rPr>
        <w:t xml:space="preserve">, N., </w:t>
      </w:r>
      <w:proofErr w:type="spellStart"/>
      <w:r w:rsidRPr="00985D4E">
        <w:rPr>
          <w:sz w:val="18"/>
          <w:szCs w:val="18"/>
        </w:rPr>
        <w:t>Chojnicki</w:t>
      </w:r>
      <w:proofErr w:type="spellEnd"/>
      <w:r w:rsidRPr="00985D4E">
        <w:rPr>
          <w:sz w:val="18"/>
          <w:szCs w:val="18"/>
        </w:rPr>
        <w:t xml:space="preserve"> B.H., </w:t>
      </w:r>
      <w:proofErr w:type="spellStart"/>
      <w:r w:rsidRPr="00985D4E">
        <w:rPr>
          <w:sz w:val="18"/>
          <w:szCs w:val="18"/>
        </w:rPr>
        <w:t>Rinne</w:t>
      </w:r>
      <w:proofErr w:type="spellEnd"/>
      <w:r w:rsidRPr="00985D4E">
        <w:rPr>
          <w:sz w:val="18"/>
          <w:szCs w:val="18"/>
        </w:rPr>
        <w:t xml:space="preserve"> J., </w:t>
      </w:r>
      <w:proofErr w:type="spellStart"/>
      <w:r w:rsidRPr="00985D4E">
        <w:rPr>
          <w:sz w:val="18"/>
          <w:szCs w:val="18"/>
        </w:rPr>
        <w:t>Haapanala</w:t>
      </w:r>
      <w:proofErr w:type="spellEnd"/>
      <w:r w:rsidRPr="00985D4E">
        <w:rPr>
          <w:sz w:val="18"/>
          <w:szCs w:val="18"/>
        </w:rPr>
        <w:t xml:space="preserve"> S., </w:t>
      </w:r>
      <w:proofErr w:type="spellStart"/>
      <w:r w:rsidRPr="00985D4E">
        <w:rPr>
          <w:sz w:val="18"/>
          <w:szCs w:val="18"/>
        </w:rPr>
        <w:t>Siedlecki</w:t>
      </w:r>
      <w:proofErr w:type="spellEnd"/>
      <w:r w:rsidRPr="00985D4E">
        <w:rPr>
          <w:sz w:val="18"/>
          <w:szCs w:val="18"/>
        </w:rPr>
        <w:t xml:space="preserve"> P., </w:t>
      </w:r>
      <w:proofErr w:type="spellStart"/>
      <w:r w:rsidRPr="00985D4E">
        <w:rPr>
          <w:sz w:val="18"/>
          <w:szCs w:val="18"/>
        </w:rPr>
        <w:t>Urbaniak</w:t>
      </w:r>
      <w:proofErr w:type="spellEnd"/>
      <w:r w:rsidRPr="00985D4E">
        <w:rPr>
          <w:sz w:val="18"/>
          <w:szCs w:val="18"/>
        </w:rPr>
        <w:t xml:space="preserve"> M., </w:t>
      </w:r>
      <w:proofErr w:type="spellStart"/>
      <w:r w:rsidRPr="00985D4E">
        <w:rPr>
          <w:sz w:val="18"/>
          <w:szCs w:val="18"/>
        </w:rPr>
        <w:t>Juszczak</w:t>
      </w:r>
      <w:proofErr w:type="spellEnd"/>
      <w:r w:rsidRPr="00985D4E">
        <w:rPr>
          <w:sz w:val="18"/>
          <w:szCs w:val="18"/>
        </w:rPr>
        <w:t xml:space="preserve"> R., </w:t>
      </w:r>
      <w:proofErr w:type="spellStart"/>
      <w:r w:rsidRPr="00985D4E">
        <w:rPr>
          <w:sz w:val="18"/>
          <w:szCs w:val="18"/>
        </w:rPr>
        <w:t>Olejnik</w:t>
      </w:r>
      <w:proofErr w:type="spellEnd"/>
      <w:r w:rsidRPr="00985D4E">
        <w:rPr>
          <w:sz w:val="18"/>
          <w:szCs w:val="18"/>
        </w:rPr>
        <w:t xml:space="preserve"> J., 2013:</w:t>
      </w:r>
    </w:p>
    <w:p w:rsidR="00A87654" w:rsidRPr="00985D4E" w:rsidRDefault="00793A9B" w:rsidP="00B327A5">
      <w:pPr>
        <w:jc w:val="both"/>
        <w:rPr>
          <w:sz w:val="18"/>
          <w:szCs w:val="18"/>
        </w:rPr>
      </w:pPr>
      <w:r w:rsidRPr="00985D4E">
        <w:rPr>
          <w:sz w:val="18"/>
          <w:szCs w:val="18"/>
        </w:rPr>
        <w:fldChar w:fldCharType="begin"/>
      </w:r>
      <w:r w:rsidR="004A165E" w:rsidRPr="00985D4E">
        <w:rPr>
          <w:sz w:val="18"/>
          <w:szCs w:val="18"/>
        </w:rPr>
        <w:instrText xml:space="preserve"> ADDIN EN.REFLIST </w:instrText>
      </w:r>
      <w:r w:rsidRPr="00985D4E">
        <w:rPr>
          <w:sz w:val="18"/>
          <w:szCs w:val="18"/>
        </w:rPr>
        <w:fldChar w:fldCharType="separate"/>
      </w:r>
      <w:r w:rsidR="002E5DAA" w:rsidRPr="00985D4E">
        <w:rPr>
          <w:bCs/>
          <w:sz w:val="18"/>
          <w:szCs w:val="18"/>
        </w:rPr>
        <w:t>Measurements of methane emission from a temperate wetland by eddy covariance method. International Agrophysics, 27, 283-290.</w:t>
      </w:r>
    </w:p>
    <w:p w:rsidR="001E5FE4" w:rsidRPr="00985D4E" w:rsidRDefault="001E5FE4" w:rsidP="00B327A5">
      <w:pPr>
        <w:pStyle w:val="Akapitzlist"/>
        <w:jc w:val="both"/>
        <w:rPr>
          <w:bCs/>
          <w:sz w:val="18"/>
          <w:szCs w:val="18"/>
        </w:rPr>
      </w:pPr>
    </w:p>
    <w:p w:rsidR="001E5FE4" w:rsidRPr="00985D4E" w:rsidRDefault="001E5FE4" w:rsidP="00B327A5">
      <w:pPr>
        <w:pStyle w:val="Akapitzlist"/>
        <w:ind w:left="0"/>
        <w:jc w:val="both"/>
        <w:rPr>
          <w:sz w:val="18"/>
          <w:szCs w:val="18"/>
        </w:rPr>
      </w:pPr>
      <w:r w:rsidRPr="00985D4E">
        <w:rPr>
          <w:sz w:val="18"/>
          <w:szCs w:val="18"/>
        </w:rPr>
        <w:t>Le Treut, H., R. Somerville, U. Cubasch, Y. Ding, C. Mauritzen, A. Mokssit, T. Peterson and M. Prather, 2007: Historical Overview of Climate Change. In: Climate Change 2007: The Physical Science Basis. Contribution of Working Group I to the Fourth Assessment Report of the Intergovernmental Panel on Climate Change</w:t>
      </w:r>
      <w:r w:rsidR="00FC68DC" w:rsidRPr="00985D4E">
        <w:rPr>
          <w:sz w:val="18"/>
          <w:szCs w:val="18"/>
        </w:rPr>
        <w:t>, Cambridge University Press.</w:t>
      </w:r>
    </w:p>
    <w:p w:rsidR="00FC68DC" w:rsidRPr="00985D4E" w:rsidRDefault="00FC68DC" w:rsidP="00B327A5">
      <w:pPr>
        <w:pStyle w:val="Akapitzlist"/>
        <w:ind w:left="0"/>
        <w:jc w:val="both"/>
        <w:rPr>
          <w:sz w:val="18"/>
          <w:szCs w:val="18"/>
        </w:rPr>
      </w:pPr>
    </w:p>
    <w:p w:rsidR="005F3482" w:rsidRPr="00985D4E" w:rsidRDefault="00793A9B" w:rsidP="00B327A5">
      <w:pPr>
        <w:spacing w:line="213" w:lineRule="atLeast"/>
        <w:jc w:val="both"/>
        <w:rPr>
          <w:rFonts w:ascii="Verdana" w:hAnsi="Verdana" w:cs="Times New Roman"/>
          <w:color w:val="000000"/>
          <w:sz w:val="18"/>
          <w:szCs w:val="18"/>
          <w:lang w:eastAsia="pl-PL"/>
        </w:rPr>
      </w:pPr>
      <w:r w:rsidRPr="00985D4E">
        <w:rPr>
          <w:sz w:val="18"/>
          <w:szCs w:val="18"/>
        </w:rPr>
        <w:fldChar w:fldCharType="end"/>
      </w:r>
      <w:r w:rsidR="005F3482" w:rsidRPr="00985D4E">
        <w:rPr>
          <w:sz w:val="18"/>
          <w:szCs w:val="18"/>
        </w:rPr>
        <w:t xml:space="preserve">Van </w:t>
      </w:r>
      <w:proofErr w:type="spellStart"/>
      <w:r w:rsidR="005F3482" w:rsidRPr="00985D4E">
        <w:rPr>
          <w:sz w:val="18"/>
          <w:szCs w:val="18"/>
        </w:rPr>
        <w:t>Huissteden</w:t>
      </w:r>
      <w:proofErr w:type="spellEnd"/>
      <w:r w:rsidR="005F3482" w:rsidRPr="00985D4E">
        <w:rPr>
          <w:sz w:val="18"/>
          <w:szCs w:val="18"/>
        </w:rPr>
        <w:t xml:space="preserve"> J., </w:t>
      </w:r>
      <w:proofErr w:type="spellStart"/>
      <w:r w:rsidR="005F3482" w:rsidRPr="00985D4E">
        <w:rPr>
          <w:sz w:val="18"/>
          <w:szCs w:val="18"/>
        </w:rPr>
        <w:t>Petrescu</w:t>
      </w:r>
      <w:proofErr w:type="spellEnd"/>
      <w:r w:rsidR="005F3482" w:rsidRPr="00985D4E">
        <w:rPr>
          <w:sz w:val="18"/>
          <w:szCs w:val="18"/>
        </w:rPr>
        <w:t xml:space="preserve"> A. M. R., </w:t>
      </w:r>
      <w:proofErr w:type="spellStart"/>
      <w:r w:rsidR="005F3482" w:rsidRPr="00985D4E">
        <w:rPr>
          <w:sz w:val="18"/>
          <w:szCs w:val="18"/>
        </w:rPr>
        <w:t>Hendriks</w:t>
      </w:r>
      <w:proofErr w:type="spellEnd"/>
      <w:r w:rsidR="005F3482" w:rsidRPr="00985D4E">
        <w:rPr>
          <w:sz w:val="18"/>
          <w:szCs w:val="18"/>
        </w:rPr>
        <w:t xml:space="preserve"> D. M. D., and Rebel K. T., 2009: Sensitivity analysis of a wetland methane emission model based on temperate and arctic wetland sites. </w:t>
      </w:r>
      <w:proofErr w:type="spellStart"/>
      <w:r w:rsidR="005F3482" w:rsidRPr="00985D4E">
        <w:rPr>
          <w:rFonts w:cs="Times New Roman"/>
          <w:color w:val="000000"/>
          <w:sz w:val="18"/>
          <w:szCs w:val="18"/>
          <w:lang w:eastAsia="pl-PL"/>
        </w:rPr>
        <w:t>Biogeosciences</w:t>
      </w:r>
      <w:proofErr w:type="spellEnd"/>
      <w:r w:rsidR="005F3482" w:rsidRPr="00985D4E">
        <w:rPr>
          <w:rFonts w:cs="Times New Roman"/>
          <w:color w:val="000000"/>
          <w:sz w:val="18"/>
          <w:szCs w:val="18"/>
          <w:lang w:eastAsia="pl-PL"/>
        </w:rPr>
        <w:t>, 6, 3035-3051</w:t>
      </w:r>
    </w:p>
    <w:sectPr w:rsidR="005F3482" w:rsidRPr="00985D4E" w:rsidSect="004274C0">
      <w:headerReference w:type="default" r:id="rId8"/>
      <w:footerReference w:type="default" r:id="rId9"/>
      <w:pgSz w:w="12240" w:h="15840"/>
      <w:pgMar w:top="1417" w:right="1080" w:bottom="1417"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5D5" w:rsidRDefault="004715D5" w:rsidP="00446697">
      <w:r>
        <w:separator/>
      </w:r>
    </w:p>
  </w:endnote>
  <w:endnote w:type="continuationSeparator" w:id="0">
    <w:p w:rsidR="004715D5" w:rsidRDefault="004715D5" w:rsidP="004466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DB2" w:rsidRDefault="002B0DB2" w:rsidP="0032758B">
    <w:pPr>
      <w:pStyle w:val="Stopka"/>
      <w:tabs>
        <w:tab w:val="clear" w:pos="4680"/>
        <w:tab w:val="clear" w:pos="9360"/>
        <w:tab w:val="center" w:pos="5103"/>
        <w:tab w:val="right" w:pos="10065"/>
      </w:tabs>
    </w:pPr>
    <w:r>
      <w:t>30nov2011</w:t>
    </w:r>
  </w:p>
  <w:p w:rsidR="002B0DB2" w:rsidRDefault="002B0DB2" w:rsidP="00CD4EFD">
    <w:pPr>
      <w:pStyle w:val="Stopka"/>
      <w:tabs>
        <w:tab w:val="clear" w:pos="9360"/>
        <w:tab w:val="right" w:pos="8640"/>
      </w:tabs>
    </w:pPr>
    <w:r>
      <w:t>ATV</w:t>
    </w:r>
    <w:r>
      <w:tab/>
    </w:r>
    <w:proofErr w:type="spellStart"/>
    <w:r>
      <w:t>InGOS</w:t>
    </w:r>
    <w:proofErr w:type="spellEnd"/>
    <w:r>
      <w:t xml:space="preserve"> TNA application </w:t>
    </w:r>
    <w:proofErr w:type="spellStart"/>
    <w:r>
      <w:t>workplan</w:t>
    </w:r>
    <w:proofErr w:type="spellEnd"/>
    <w:r>
      <w:tab/>
    </w:r>
    <w:r>
      <w:tab/>
    </w:r>
    <w:r w:rsidRPr="00CD4EFD">
      <w:t xml:space="preserve">~ </w:t>
    </w:r>
    <w:r w:rsidR="00793A9B">
      <w:fldChar w:fldCharType="begin"/>
    </w:r>
    <w:r>
      <w:instrText xml:space="preserve"> PAGE    \* MERGEFORMAT </w:instrText>
    </w:r>
    <w:r w:rsidR="00793A9B">
      <w:fldChar w:fldCharType="separate"/>
    </w:r>
    <w:r w:rsidR="004A25C0">
      <w:rPr>
        <w:noProof/>
      </w:rPr>
      <w:t>6</w:t>
    </w:r>
    <w:r w:rsidR="00793A9B">
      <w:rPr>
        <w:noProof/>
      </w:rPr>
      <w:fldChar w:fldCharType="end"/>
    </w:r>
    <w:r w:rsidRPr="00CD4EFD">
      <w:t xml:space="preserve"> ~</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5D5" w:rsidRDefault="004715D5" w:rsidP="00446697">
      <w:r>
        <w:separator/>
      </w:r>
    </w:p>
  </w:footnote>
  <w:footnote w:type="continuationSeparator" w:id="0">
    <w:p w:rsidR="004715D5" w:rsidRDefault="004715D5" w:rsidP="004466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DB2" w:rsidRDefault="002B0DB2" w:rsidP="00446697">
    <w:pPr>
      <w:pStyle w:val="Nagwek"/>
      <w:jc w:val="right"/>
    </w:pPr>
    <w:r>
      <w:rPr>
        <w:noProof/>
        <w:lang w:val="pl-PL" w:eastAsia="pl-PL"/>
      </w:rPr>
      <w:drawing>
        <wp:inline distT="0" distB="0" distL="0" distR="0">
          <wp:extent cx="1943100" cy="752475"/>
          <wp:effectExtent l="0" t="0" r="0" b="0"/>
          <wp:docPr id="1" name="Picture 0" descr="ingos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goslogo_v2.png"/>
                  <pic:cNvPicPr>
                    <a:picLocks noChangeAspect="1" noChangeArrowheads="1"/>
                  </pic:cNvPicPr>
                </pic:nvPicPr>
                <pic:blipFill>
                  <a:blip r:embed="rId1"/>
                  <a:srcRect/>
                  <a:stretch>
                    <a:fillRect/>
                  </a:stretch>
                </pic:blipFill>
                <pic:spPr bwMode="auto">
                  <a:xfrm>
                    <a:off x="0" y="0"/>
                    <a:ext cx="1943100" cy="7524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212B"/>
    <w:multiLevelType w:val="hybridMultilevel"/>
    <w:tmpl w:val="0B982C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4D6181E"/>
    <w:multiLevelType w:val="hybridMultilevel"/>
    <w:tmpl w:val="BC745E42"/>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0573F86"/>
    <w:multiLevelType w:val="hybridMultilevel"/>
    <w:tmpl w:val="721C1A7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61A4733"/>
    <w:multiLevelType w:val="hybridMultilevel"/>
    <w:tmpl w:val="67D02386"/>
    <w:lvl w:ilvl="0" w:tplc="89A638EE">
      <w:start w:val="2"/>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6B44677"/>
    <w:multiLevelType w:val="hybridMultilevel"/>
    <w:tmpl w:val="1E528950"/>
    <w:lvl w:ilvl="0" w:tplc="89A638EE">
      <w:start w:val="2"/>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9E0550"/>
    <w:multiLevelType w:val="hybridMultilevel"/>
    <w:tmpl w:val="E30E26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6B13290"/>
    <w:multiLevelType w:val="hybridMultilevel"/>
    <w:tmpl w:val="E5BE3D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6CD65A1"/>
    <w:multiLevelType w:val="hybridMultilevel"/>
    <w:tmpl w:val="2304BC3E"/>
    <w:lvl w:ilvl="0" w:tplc="0410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B119AD"/>
    <w:multiLevelType w:val="hybridMultilevel"/>
    <w:tmpl w:val="94EEE710"/>
    <w:lvl w:ilvl="0" w:tplc="0409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56222549"/>
    <w:multiLevelType w:val="hybridMultilevel"/>
    <w:tmpl w:val="488A2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F908E2"/>
    <w:multiLevelType w:val="hybridMultilevel"/>
    <w:tmpl w:val="D936A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8"/>
  </w:num>
  <w:num w:numId="4">
    <w:abstractNumId w:val="3"/>
  </w:num>
  <w:num w:numId="5">
    <w:abstractNumId w:val="10"/>
  </w:num>
  <w:num w:numId="6">
    <w:abstractNumId w:val="4"/>
  </w:num>
  <w:num w:numId="7">
    <w:abstractNumId w:val="7"/>
  </w:num>
  <w:num w:numId="8">
    <w:abstractNumId w:val="6"/>
  </w:num>
  <w:num w:numId="9">
    <w:abstractNumId w:val="2"/>
  </w:num>
  <w:num w:numId="10">
    <w:abstractNumId w:val="5"/>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gdan Chojnicki">
    <w15:presenceInfo w15:providerId="Windows Live" w15:userId="44d9b5a02f4b6af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34818"/>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ENInstantFormat&gt;"/>
    <w:docVar w:name="EN.Libraries" w:val="&lt;ENLibraries&gt;&lt;Libraries&gt;&lt;item&gt;articulos-Converted.enl&lt;/item&gt;&lt;/Libraries&gt;&lt;/ENLibraries&gt;"/>
  </w:docVars>
  <w:rsids>
    <w:rsidRoot w:val="00446697"/>
    <w:rsid w:val="00002EB9"/>
    <w:rsid w:val="000043D8"/>
    <w:rsid w:val="0001798A"/>
    <w:rsid w:val="00027579"/>
    <w:rsid w:val="00032BCB"/>
    <w:rsid w:val="00035630"/>
    <w:rsid w:val="00037CA3"/>
    <w:rsid w:val="00040AAD"/>
    <w:rsid w:val="00061079"/>
    <w:rsid w:val="00063ADB"/>
    <w:rsid w:val="00067D0E"/>
    <w:rsid w:val="000815D8"/>
    <w:rsid w:val="00081642"/>
    <w:rsid w:val="0009543A"/>
    <w:rsid w:val="00096A56"/>
    <w:rsid w:val="000A37B5"/>
    <w:rsid w:val="000A76E3"/>
    <w:rsid w:val="000B2754"/>
    <w:rsid w:val="000E2E84"/>
    <w:rsid w:val="00103B13"/>
    <w:rsid w:val="00105530"/>
    <w:rsid w:val="001231CF"/>
    <w:rsid w:val="0012792D"/>
    <w:rsid w:val="00131F4C"/>
    <w:rsid w:val="00141361"/>
    <w:rsid w:val="0015393E"/>
    <w:rsid w:val="00161201"/>
    <w:rsid w:val="00165DA9"/>
    <w:rsid w:val="00180D0B"/>
    <w:rsid w:val="0018789C"/>
    <w:rsid w:val="001951F8"/>
    <w:rsid w:val="001A530F"/>
    <w:rsid w:val="001B34F7"/>
    <w:rsid w:val="001D2DCF"/>
    <w:rsid w:val="001D7592"/>
    <w:rsid w:val="001E1C70"/>
    <w:rsid w:val="001E333B"/>
    <w:rsid w:val="001E5FE4"/>
    <w:rsid w:val="001E6040"/>
    <w:rsid w:val="001F234F"/>
    <w:rsid w:val="001F65AF"/>
    <w:rsid w:val="0020238F"/>
    <w:rsid w:val="00204937"/>
    <w:rsid w:val="00214EFC"/>
    <w:rsid w:val="00215DDC"/>
    <w:rsid w:val="00224C99"/>
    <w:rsid w:val="00235585"/>
    <w:rsid w:val="00237E77"/>
    <w:rsid w:val="00242032"/>
    <w:rsid w:val="00246E33"/>
    <w:rsid w:val="0025482C"/>
    <w:rsid w:val="00255EEC"/>
    <w:rsid w:val="00265609"/>
    <w:rsid w:val="00281109"/>
    <w:rsid w:val="002A0E4F"/>
    <w:rsid w:val="002A10F5"/>
    <w:rsid w:val="002B0DB2"/>
    <w:rsid w:val="002B52FF"/>
    <w:rsid w:val="002B62CF"/>
    <w:rsid w:val="002D14E9"/>
    <w:rsid w:val="002D2865"/>
    <w:rsid w:val="002D3CDB"/>
    <w:rsid w:val="002E1745"/>
    <w:rsid w:val="002E2EE2"/>
    <w:rsid w:val="002E5DAA"/>
    <w:rsid w:val="00305ED1"/>
    <w:rsid w:val="00311134"/>
    <w:rsid w:val="00311441"/>
    <w:rsid w:val="003172E4"/>
    <w:rsid w:val="0032758B"/>
    <w:rsid w:val="00333A09"/>
    <w:rsid w:val="00337CDE"/>
    <w:rsid w:val="003523D5"/>
    <w:rsid w:val="00354202"/>
    <w:rsid w:val="00354B04"/>
    <w:rsid w:val="0035702F"/>
    <w:rsid w:val="00362370"/>
    <w:rsid w:val="003626E1"/>
    <w:rsid w:val="00384118"/>
    <w:rsid w:val="00391090"/>
    <w:rsid w:val="00394AA9"/>
    <w:rsid w:val="003A7CE9"/>
    <w:rsid w:val="003B6858"/>
    <w:rsid w:val="003C753A"/>
    <w:rsid w:val="003D326B"/>
    <w:rsid w:val="004007C4"/>
    <w:rsid w:val="004073D0"/>
    <w:rsid w:val="00411127"/>
    <w:rsid w:val="004114ED"/>
    <w:rsid w:val="004274C0"/>
    <w:rsid w:val="00431E30"/>
    <w:rsid w:val="00432F39"/>
    <w:rsid w:val="004339FD"/>
    <w:rsid w:val="00436769"/>
    <w:rsid w:val="00445642"/>
    <w:rsid w:val="00445C1D"/>
    <w:rsid w:val="00446697"/>
    <w:rsid w:val="00453232"/>
    <w:rsid w:val="0045742D"/>
    <w:rsid w:val="004715D5"/>
    <w:rsid w:val="004722AC"/>
    <w:rsid w:val="00477C6F"/>
    <w:rsid w:val="00480463"/>
    <w:rsid w:val="004808B7"/>
    <w:rsid w:val="00485BC9"/>
    <w:rsid w:val="00486298"/>
    <w:rsid w:val="00497FE1"/>
    <w:rsid w:val="004A165E"/>
    <w:rsid w:val="004A1C4E"/>
    <w:rsid w:val="004A25C0"/>
    <w:rsid w:val="004A6B33"/>
    <w:rsid w:val="004C5DDB"/>
    <w:rsid w:val="004C6ACC"/>
    <w:rsid w:val="004D2879"/>
    <w:rsid w:val="004E0289"/>
    <w:rsid w:val="004E1471"/>
    <w:rsid w:val="004E1895"/>
    <w:rsid w:val="004E360C"/>
    <w:rsid w:val="004E446A"/>
    <w:rsid w:val="004E5C24"/>
    <w:rsid w:val="00500825"/>
    <w:rsid w:val="00506956"/>
    <w:rsid w:val="005108DE"/>
    <w:rsid w:val="00510C7A"/>
    <w:rsid w:val="0051718E"/>
    <w:rsid w:val="00531803"/>
    <w:rsid w:val="005453BB"/>
    <w:rsid w:val="005456E2"/>
    <w:rsid w:val="00554F39"/>
    <w:rsid w:val="005634C3"/>
    <w:rsid w:val="00567D70"/>
    <w:rsid w:val="00574DAA"/>
    <w:rsid w:val="005851F5"/>
    <w:rsid w:val="005B20FA"/>
    <w:rsid w:val="005B2B1F"/>
    <w:rsid w:val="005C017F"/>
    <w:rsid w:val="005C6601"/>
    <w:rsid w:val="005D6B6F"/>
    <w:rsid w:val="005F0316"/>
    <w:rsid w:val="005F3482"/>
    <w:rsid w:val="0060079F"/>
    <w:rsid w:val="00603926"/>
    <w:rsid w:val="0061631C"/>
    <w:rsid w:val="00620CAD"/>
    <w:rsid w:val="00631A9F"/>
    <w:rsid w:val="00636106"/>
    <w:rsid w:val="006369CA"/>
    <w:rsid w:val="0063744B"/>
    <w:rsid w:val="00641C53"/>
    <w:rsid w:val="00650E5B"/>
    <w:rsid w:val="0065666F"/>
    <w:rsid w:val="00657FCD"/>
    <w:rsid w:val="00661BC1"/>
    <w:rsid w:val="006665DF"/>
    <w:rsid w:val="00693635"/>
    <w:rsid w:val="006969EA"/>
    <w:rsid w:val="006A223B"/>
    <w:rsid w:val="006A64B4"/>
    <w:rsid w:val="006B050C"/>
    <w:rsid w:val="006B381E"/>
    <w:rsid w:val="006B7D11"/>
    <w:rsid w:val="006C0B84"/>
    <w:rsid w:val="006C7D6B"/>
    <w:rsid w:val="006E527C"/>
    <w:rsid w:val="007015E2"/>
    <w:rsid w:val="00702BEB"/>
    <w:rsid w:val="0070322F"/>
    <w:rsid w:val="00716BF4"/>
    <w:rsid w:val="00742CDA"/>
    <w:rsid w:val="00745110"/>
    <w:rsid w:val="00746AB4"/>
    <w:rsid w:val="00747094"/>
    <w:rsid w:val="007522CE"/>
    <w:rsid w:val="00752A05"/>
    <w:rsid w:val="00757D5D"/>
    <w:rsid w:val="00760BA1"/>
    <w:rsid w:val="007636B7"/>
    <w:rsid w:val="00763A93"/>
    <w:rsid w:val="007737FC"/>
    <w:rsid w:val="0077479F"/>
    <w:rsid w:val="0077497C"/>
    <w:rsid w:val="007831B4"/>
    <w:rsid w:val="00785A34"/>
    <w:rsid w:val="00793A9B"/>
    <w:rsid w:val="00793DE2"/>
    <w:rsid w:val="007940B2"/>
    <w:rsid w:val="007A16D7"/>
    <w:rsid w:val="007A3693"/>
    <w:rsid w:val="007A58A6"/>
    <w:rsid w:val="007C41BC"/>
    <w:rsid w:val="007D6593"/>
    <w:rsid w:val="007D689E"/>
    <w:rsid w:val="007E5CB1"/>
    <w:rsid w:val="007E713E"/>
    <w:rsid w:val="007E7D22"/>
    <w:rsid w:val="007E7ED4"/>
    <w:rsid w:val="008144E7"/>
    <w:rsid w:val="00816C19"/>
    <w:rsid w:val="00821BC8"/>
    <w:rsid w:val="008228DE"/>
    <w:rsid w:val="0082459F"/>
    <w:rsid w:val="008256B2"/>
    <w:rsid w:val="0082702D"/>
    <w:rsid w:val="00827362"/>
    <w:rsid w:val="008303F6"/>
    <w:rsid w:val="008436AC"/>
    <w:rsid w:val="00843DF6"/>
    <w:rsid w:val="00847BBE"/>
    <w:rsid w:val="0085042A"/>
    <w:rsid w:val="00854637"/>
    <w:rsid w:val="00861515"/>
    <w:rsid w:val="00867F79"/>
    <w:rsid w:val="008847F6"/>
    <w:rsid w:val="00886E64"/>
    <w:rsid w:val="008916D9"/>
    <w:rsid w:val="00891884"/>
    <w:rsid w:val="00895F12"/>
    <w:rsid w:val="008B15BE"/>
    <w:rsid w:val="008B2AF2"/>
    <w:rsid w:val="008B479E"/>
    <w:rsid w:val="008C1822"/>
    <w:rsid w:val="008D61E3"/>
    <w:rsid w:val="008E5D02"/>
    <w:rsid w:val="008F6159"/>
    <w:rsid w:val="00910847"/>
    <w:rsid w:val="009179A2"/>
    <w:rsid w:val="00921A8E"/>
    <w:rsid w:val="00931797"/>
    <w:rsid w:val="009362B2"/>
    <w:rsid w:val="00942B7A"/>
    <w:rsid w:val="009440D7"/>
    <w:rsid w:val="00961E8B"/>
    <w:rsid w:val="009675A3"/>
    <w:rsid w:val="00970486"/>
    <w:rsid w:val="00970B2E"/>
    <w:rsid w:val="00973AE6"/>
    <w:rsid w:val="00981ED4"/>
    <w:rsid w:val="00984DA0"/>
    <w:rsid w:val="00985D4E"/>
    <w:rsid w:val="0099166E"/>
    <w:rsid w:val="00992848"/>
    <w:rsid w:val="009937E1"/>
    <w:rsid w:val="009A72B4"/>
    <w:rsid w:val="009B3651"/>
    <w:rsid w:val="009C206E"/>
    <w:rsid w:val="009D484B"/>
    <w:rsid w:val="009E216A"/>
    <w:rsid w:val="00A143C7"/>
    <w:rsid w:val="00A30457"/>
    <w:rsid w:val="00A36BB4"/>
    <w:rsid w:val="00A451D4"/>
    <w:rsid w:val="00A52BCD"/>
    <w:rsid w:val="00A54D66"/>
    <w:rsid w:val="00A5774D"/>
    <w:rsid w:val="00A679DB"/>
    <w:rsid w:val="00A7205D"/>
    <w:rsid w:val="00A83CAA"/>
    <w:rsid w:val="00A87654"/>
    <w:rsid w:val="00A93C89"/>
    <w:rsid w:val="00AA2398"/>
    <w:rsid w:val="00AA7ABC"/>
    <w:rsid w:val="00AC11CA"/>
    <w:rsid w:val="00AC3C08"/>
    <w:rsid w:val="00AC5CD1"/>
    <w:rsid w:val="00AD2DFC"/>
    <w:rsid w:val="00AE00E5"/>
    <w:rsid w:val="00AE1016"/>
    <w:rsid w:val="00AF737B"/>
    <w:rsid w:val="00B02A0C"/>
    <w:rsid w:val="00B04610"/>
    <w:rsid w:val="00B239B9"/>
    <w:rsid w:val="00B26202"/>
    <w:rsid w:val="00B327A5"/>
    <w:rsid w:val="00B402D0"/>
    <w:rsid w:val="00B55C54"/>
    <w:rsid w:val="00B664AC"/>
    <w:rsid w:val="00B85FA2"/>
    <w:rsid w:val="00B90661"/>
    <w:rsid w:val="00BB08F6"/>
    <w:rsid w:val="00BB4237"/>
    <w:rsid w:val="00BB5E82"/>
    <w:rsid w:val="00BC1D3B"/>
    <w:rsid w:val="00BC64C0"/>
    <w:rsid w:val="00BD6914"/>
    <w:rsid w:val="00BE06BB"/>
    <w:rsid w:val="00BE39A2"/>
    <w:rsid w:val="00BF04CE"/>
    <w:rsid w:val="00BF7524"/>
    <w:rsid w:val="00C14187"/>
    <w:rsid w:val="00C2049E"/>
    <w:rsid w:val="00C25B05"/>
    <w:rsid w:val="00C41DF7"/>
    <w:rsid w:val="00C42810"/>
    <w:rsid w:val="00C43576"/>
    <w:rsid w:val="00C4402C"/>
    <w:rsid w:val="00C465C1"/>
    <w:rsid w:val="00C73B56"/>
    <w:rsid w:val="00C758EC"/>
    <w:rsid w:val="00C83BC2"/>
    <w:rsid w:val="00C91AB9"/>
    <w:rsid w:val="00CA42B3"/>
    <w:rsid w:val="00CB7920"/>
    <w:rsid w:val="00CC374E"/>
    <w:rsid w:val="00CC393B"/>
    <w:rsid w:val="00CD3E4C"/>
    <w:rsid w:val="00CD436F"/>
    <w:rsid w:val="00CD4E8F"/>
    <w:rsid w:val="00CD4EFD"/>
    <w:rsid w:val="00CE3689"/>
    <w:rsid w:val="00CE4E39"/>
    <w:rsid w:val="00D022FD"/>
    <w:rsid w:val="00D07DCC"/>
    <w:rsid w:val="00D20D61"/>
    <w:rsid w:val="00D315B0"/>
    <w:rsid w:val="00D32AAE"/>
    <w:rsid w:val="00D54CF9"/>
    <w:rsid w:val="00D55C90"/>
    <w:rsid w:val="00D5635A"/>
    <w:rsid w:val="00D62F13"/>
    <w:rsid w:val="00D66864"/>
    <w:rsid w:val="00D71C64"/>
    <w:rsid w:val="00D72D6C"/>
    <w:rsid w:val="00D76A5A"/>
    <w:rsid w:val="00D82317"/>
    <w:rsid w:val="00D86001"/>
    <w:rsid w:val="00D9570D"/>
    <w:rsid w:val="00D973F5"/>
    <w:rsid w:val="00DA03AF"/>
    <w:rsid w:val="00DA1398"/>
    <w:rsid w:val="00DA1FE3"/>
    <w:rsid w:val="00DB06A9"/>
    <w:rsid w:val="00DB27EE"/>
    <w:rsid w:val="00DC787B"/>
    <w:rsid w:val="00DD6681"/>
    <w:rsid w:val="00DD7DE8"/>
    <w:rsid w:val="00DE28FA"/>
    <w:rsid w:val="00DF4ECB"/>
    <w:rsid w:val="00E05013"/>
    <w:rsid w:val="00E052C6"/>
    <w:rsid w:val="00E22366"/>
    <w:rsid w:val="00E32576"/>
    <w:rsid w:val="00E41440"/>
    <w:rsid w:val="00E438E7"/>
    <w:rsid w:val="00E44BF8"/>
    <w:rsid w:val="00E51EF6"/>
    <w:rsid w:val="00E66EC1"/>
    <w:rsid w:val="00E67020"/>
    <w:rsid w:val="00E72258"/>
    <w:rsid w:val="00E7486D"/>
    <w:rsid w:val="00E81728"/>
    <w:rsid w:val="00E85896"/>
    <w:rsid w:val="00E90502"/>
    <w:rsid w:val="00EA2E13"/>
    <w:rsid w:val="00EA4981"/>
    <w:rsid w:val="00EA4EE0"/>
    <w:rsid w:val="00EA76E8"/>
    <w:rsid w:val="00EB4621"/>
    <w:rsid w:val="00EC54D9"/>
    <w:rsid w:val="00ED582B"/>
    <w:rsid w:val="00EF0317"/>
    <w:rsid w:val="00EF3E0F"/>
    <w:rsid w:val="00EF76D1"/>
    <w:rsid w:val="00F20206"/>
    <w:rsid w:val="00F20757"/>
    <w:rsid w:val="00F20F77"/>
    <w:rsid w:val="00F211D7"/>
    <w:rsid w:val="00F24AA8"/>
    <w:rsid w:val="00F310DA"/>
    <w:rsid w:val="00F33E27"/>
    <w:rsid w:val="00F42436"/>
    <w:rsid w:val="00F45FF8"/>
    <w:rsid w:val="00F50A1C"/>
    <w:rsid w:val="00F512A3"/>
    <w:rsid w:val="00F56AB9"/>
    <w:rsid w:val="00F575FE"/>
    <w:rsid w:val="00F7566D"/>
    <w:rsid w:val="00F86B11"/>
    <w:rsid w:val="00F94471"/>
    <w:rsid w:val="00FA15D1"/>
    <w:rsid w:val="00FA216A"/>
    <w:rsid w:val="00FB20C2"/>
    <w:rsid w:val="00FC31C1"/>
    <w:rsid w:val="00FC46C3"/>
    <w:rsid w:val="00FC55A7"/>
    <w:rsid w:val="00FC68DC"/>
    <w:rsid w:val="00FD379F"/>
    <w:rsid w:val="00FD5672"/>
    <w:rsid w:val="00FE2DF7"/>
    <w:rsid w:val="00FF08F5"/>
    <w:rsid w:val="00FF4B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6697"/>
    <w:rPr>
      <w:rFonts w:ascii="Trebuchet MS" w:hAnsi="Trebuchet MS" w:cs="Trebuchet MS"/>
      <w:sz w:val="24"/>
      <w:szCs w:val="24"/>
    </w:rPr>
  </w:style>
  <w:style w:type="paragraph" w:styleId="Nagwek1">
    <w:name w:val="heading 1"/>
    <w:basedOn w:val="Normalny"/>
    <w:next w:val="Normalny"/>
    <w:link w:val="Nagwek1Znak"/>
    <w:uiPriority w:val="99"/>
    <w:qFormat/>
    <w:rsid w:val="00446697"/>
    <w:pPr>
      <w:keepNext/>
      <w:keepLines/>
      <w:spacing w:before="480"/>
      <w:outlineLvl w:val="0"/>
    </w:pPr>
    <w:rPr>
      <w:rFonts w:ascii="Cambria" w:hAnsi="Cambria" w:cs="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446697"/>
    <w:rPr>
      <w:rFonts w:ascii="Cambria" w:hAnsi="Cambria" w:cs="Cambria"/>
      <w:b/>
      <w:bCs/>
      <w:color w:val="365F91"/>
      <w:sz w:val="28"/>
      <w:szCs w:val="28"/>
    </w:rPr>
  </w:style>
  <w:style w:type="paragraph" w:styleId="Nagwek">
    <w:name w:val="header"/>
    <w:basedOn w:val="Normalny"/>
    <w:link w:val="NagwekZnak"/>
    <w:uiPriority w:val="99"/>
    <w:rsid w:val="00446697"/>
    <w:pPr>
      <w:tabs>
        <w:tab w:val="center" w:pos="4680"/>
        <w:tab w:val="right" w:pos="9360"/>
      </w:tabs>
    </w:pPr>
  </w:style>
  <w:style w:type="character" w:customStyle="1" w:styleId="NagwekZnak">
    <w:name w:val="Nagłówek Znak"/>
    <w:link w:val="Nagwek"/>
    <w:uiPriority w:val="99"/>
    <w:locked/>
    <w:rsid w:val="00446697"/>
    <w:rPr>
      <w:sz w:val="24"/>
      <w:szCs w:val="24"/>
    </w:rPr>
  </w:style>
  <w:style w:type="paragraph" w:styleId="Stopka">
    <w:name w:val="footer"/>
    <w:basedOn w:val="Normalny"/>
    <w:link w:val="StopkaZnak"/>
    <w:uiPriority w:val="99"/>
    <w:rsid w:val="00446697"/>
    <w:pPr>
      <w:tabs>
        <w:tab w:val="center" w:pos="4680"/>
        <w:tab w:val="right" w:pos="9360"/>
      </w:tabs>
    </w:pPr>
  </w:style>
  <w:style w:type="character" w:customStyle="1" w:styleId="StopkaZnak">
    <w:name w:val="Stopka Znak"/>
    <w:link w:val="Stopka"/>
    <w:uiPriority w:val="99"/>
    <w:locked/>
    <w:rsid w:val="00446697"/>
    <w:rPr>
      <w:sz w:val="24"/>
      <w:szCs w:val="24"/>
    </w:rPr>
  </w:style>
  <w:style w:type="paragraph" w:styleId="Tekstdymka">
    <w:name w:val="Balloon Text"/>
    <w:basedOn w:val="Normalny"/>
    <w:link w:val="TekstdymkaZnak"/>
    <w:uiPriority w:val="99"/>
    <w:semiHidden/>
    <w:rsid w:val="00446697"/>
    <w:rPr>
      <w:rFonts w:ascii="Tahoma" w:hAnsi="Tahoma" w:cs="Tahoma"/>
      <w:sz w:val="16"/>
      <w:szCs w:val="16"/>
    </w:rPr>
  </w:style>
  <w:style w:type="character" w:customStyle="1" w:styleId="TekstdymkaZnak">
    <w:name w:val="Tekst dymka Znak"/>
    <w:link w:val="Tekstdymka"/>
    <w:uiPriority w:val="99"/>
    <w:locked/>
    <w:rsid w:val="00446697"/>
    <w:rPr>
      <w:rFonts w:ascii="Tahoma" w:hAnsi="Tahoma" w:cs="Tahoma"/>
      <w:sz w:val="16"/>
      <w:szCs w:val="16"/>
    </w:rPr>
  </w:style>
  <w:style w:type="paragraph" w:styleId="Akapitzlist">
    <w:name w:val="List Paragraph"/>
    <w:basedOn w:val="Normalny"/>
    <w:uiPriority w:val="99"/>
    <w:qFormat/>
    <w:rsid w:val="00861515"/>
    <w:pPr>
      <w:ind w:left="720"/>
    </w:pPr>
  </w:style>
  <w:style w:type="character" w:styleId="Hipercze">
    <w:name w:val="Hyperlink"/>
    <w:uiPriority w:val="99"/>
    <w:rsid w:val="00A52BCD"/>
    <w:rPr>
      <w:color w:val="0000FF"/>
      <w:u w:val="single"/>
    </w:rPr>
  </w:style>
  <w:style w:type="table" w:styleId="Tabela-Siatka">
    <w:name w:val="Table Grid"/>
    <w:basedOn w:val="Standardowy"/>
    <w:uiPriority w:val="99"/>
    <w:locked/>
    <w:rsid w:val="00EC54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uiPriority w:val="99"/>
    <w:semiHidden/>
    <w:unhideWhenUsed/>
    <w:rsid w:val="00981ED4"/>
    <w:rPr>
      <w:sz w:val="16"/>
      <w:szCs w:val="16"/>
    </w:rPr>
  </w:style>
  <w:style w:type="paragraph" w:styleId="Tekstkomentarza">
    <w:name w:val="annotation text"/>
    <w:basedOn w:val="Normalny"/>
    <w:link w:val="TekstkomentarzaZnak"/>
    <w:uiPriority w:val="99"/>
    <w:semiHidden/>
    <w:unhideWhenUsed/>
    <w:rsid w:val="00981ED4"/>
    <w:rPr>
      <w:sz w:val="20"/>
      <w:szCs w:val="20"/>
    </w:rPr>
  </w:style>
  <w:style w:type="character" w:customStyle="1" w:styleId="TekstkomentarzaZnak">
    <w:name w:val="Tekst komentarza Znak"/>
    <w:link w:val="Tekstkomentarza"/>
    <w:uiPriority w:val="99"/>
    <w:semiHidden/>
    <w:rsid w:val="00981ED4"/>
    <w:rPr>
      <w:rFonts w:ascii="Trebuchet MS" w:hAnsi="Trebuchet MS" w:cs="Trebuchet MS"/>
      <w:sz w:val="20"/>
      <w:szCs w:val="20"/>
    </w:rPr>
  </w:style>
  <w:style w:type="paragraph" w:styleId="Tematkomentarza">
    <w:name w:val="annotation subject"/>
    <w:basedOn w:val="Tekstkomentarza"/>
    <w:next w:val="Tekstkomentarza"/>
    <w:link w:val="TematkomentarzaZnak"/>
    <w:uiPriority w:val="99"/>
    <w:semiHidden/>
    <w:unhideWhenUsed/>
    <w:rsid w:val="00981ED4"/>
    <w:rPr>
      <w:b/>
      <w:bCs/>
    </w:rPr>
  </w:style>
  <w:style w:type="character" w:customStyle="1" w:styleId="TematkomentarzaZnak">
    <w:name w:val="Temat komentarza Znak"/>
    <w:link w:val="Tematkomentarza"/>
    <w:uiPriority w:val="99"/>
    <w:semiHidden/>
    <w:rsid w:val="00981ED4"/>
    <w:rPr>
      <w:rFonts w:ascii="Trebuchet MS" w:hAnsi="Trebuchet MS" w:cs="Trebuchet MS"/>
      <w:b/>
      <w:bCs/>
      <w:sz w:val="20"/>
      <w:szCs w:val="20"/>
    </w:rPr>
  </w:style>
  <w:style w:type="paragraph" w:styleId="NormalnyWeb">
    <w:name w:val="Normal (Web)"/>
    <w:basedOn w:val="Normalny"/>
    <w:uiPriority w:val="99"/>
    <w:semiHidden/>
    <w:unhideWhenUsed/>
    <w:rsid w:val="00D71C64"/>
    <w:pPr>
      <w:spacing w:before="100" w:beforeAutospacing="1" w:after="100" w:afterAutospacing="1"/>
    </w:pPr>
    <w:rPr>
      <w:rFonts w:ascii="Times New Roman" w:hAnsi="Times New Roman" w:cs="Times New Roman"/>
      <w:lang w:val="pl-PL" w:eastAsia="pl-PL"/>
    </w:rPr>
  </w:style>
  <w:style w:type="paragraph" w:customStyle="1" w:styleId="Default">
    <w:name w:val="Default"/>
    <w:rsid w:val="00D5635A"/>
    <w:pPr>
      <w:autoSpaceDE w:val="0"/>
      <w:autoSpaceDN w:val="0"/>
      <w:adjustRightInd w:val="0"/>
    </w:pPr>
    <w:rPr>
      <w:color w:val="000000"/>
      <w:sz w:val="24"/>
      <w:szCs w:val="24"/>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697"/>
    <w:rPr>
      <w:rFonts w:ascii="Trebuchet MS" w:hAnsi="Trebuchet MS" w:cs="Trebuchet MS"/>
      <w:sz w:val="24"/>
      <w:szCs w:val="24"/>
    </w:rPr>
  </w:style>
  <w:style w:type="paragraph" w:styleId="Heading1">
    <w:name w:val="heading 1"/>
    <w:basedOn w:val="Normal"/>
    <w:next w:val="Normal"/>
    <w:link w:val="Heading1Char"/>
    <w:uiPriority w:val="99"/>
    <w:qFormat/>
    <w:rsid w:val="00446697"/>
    <w:pPr>
      <w:keepNext/>
      <w:keepLines/>
      <w:spacing w:before="480"/>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46697"/>
    <w:rPr>
      <w:rFonts w:ascii="Cambria" w:hAnsi="Cambria" w:cs="Cambria"/>
      <w:b/>
      <w:bCs/>
      <w:color w:val="365F91"/>
      <w:sz w:val="28"/>
      <w:szCs w:val="28"/>
    </w:rPr>
  </w:style>
  <w:style w:type="paragraph" w:styleId="Header">
    <w:name w:val="header"/>
    <w:basedOn w:val="Normal"/>
    <w:link w:val="HeaderChar"/>
    <w:uiPriority w:val="99"/>
    <w:rsid w:val="00446697"/>
    <w:pPr>
      <w:tabs>
        <w:tab w:val="center" w:pos="4680"/>
        <w:tab w:val="right" w:pos="9360"/>
      </w:tabs>
    </w:pPr>
  </w:style>
  <w:style w:type="character" w:customStyle="1" w:styleId="HeaderChar">
    <w:name w:val="Header Char"/>
    <w:link w:val="Header"/>
    <w:uiPriority w:val="99"/>
    <w:locked/>
    <w:rsid w:val="00446697"/>
    <w:rPr>
      <w:sz w:val="24"/>
      <w:szCs w:val="24"/>
    </w:rPr>
  </w:style>
  <w:style w:type="paragraph" w:styleId="Footer">
    <w:name w:val="footer"/>
    <w:basedOn w:val="Normal"/>
    <w:link w:val="FooterChar"/>
    <w:uiPriority w:val="99"/>
    <w:rsid w:val="00446697"/>
    <w:pPr>
      <w:tabs>
        <w:tab w:val="center" w:pos="4680"/>
        <w:tab w:val="right" w:pos="9360"/>
      </w:tabs>
    </w:pPr>
  </w:style>
  <w:style w:type="character" w:customStyle="1" w:styleId="FooterChar">
    <w:name w:val="Footer Char"/>
    <w:link w:val="Footer"/>
    <w:uiPriority w:val="99"/>
    <w:locked/>
    <w:rsid w:val="00446697"/>
    <w:rPr>
      <w:sz w:val="24"/>
      <w:szCs w:val="24"/>
    </w:rPr>
  </w:style>
  <w:style w:type="paragraph" w:styleId="BalloonText">
    <w:name w:val="Balloon Text"/>
    <w:basedOn w:val="Normal"/>
    <w:link w:val="BalloonTextChar"/>
    <w:uiPriority w:val="99"/>
    <w:semiHidden/>
    <w:rsid w:val="00446697"/>
    <w:rPr>
      <w:rFonts w:ascii="Tahoma" w:hAnsi="Tahoma" w:cs="Tahoma"/>
      <w:sz w:val="16"/>
      <w:szCs w:val="16"/>
    </w:rPr>
  </w:style>
  <w:style w:type="character" w:customStyle="1" w:styleId="BalloonTextChar">
    <w:name w:val="Balloon Text Char"/>
    <w:link w:val="BalloonText"/>
    <w:uiPriority w:val="99"/>
    <w:locked/>
    <w:rsid w:val="00446697"/>
    <w:rPr>
      <w:rFonts w:ascii="Tahoma" w:hAnsi="Tahoma" w:cs="Tahoma"/>
      <w:sz w:val="16"/>
      <w:szCs w:val="16"/>
    </w:rPr>
  </w:style>
  <w:style w:type="paragraph" w:styleId="ListParagraph">
    <w:name w:val="List Paragraph"/>
    <w:basedOn w:val="Normal"/>
    <w:uiPriority w:val="99"/>
    <w:qFormat/>
    <w:rsid w:val="00861515"/>
    <w:pPr>
      <w:ind w:left="720"/>
    </w:pPr>
  </w:style>
  <w:style w:type="character" w:styleId="Hyperlink">
    <w:name w:val="Hyperlink"/>
    <w:uiPriority w:val="99"/>
    <w:rsid w:val="00A52BCD"/>
    <w:rPr>
      <w:color w:val="0000FF"/>
      <w:u w:val="single"/>
    </w:rPr>
  </w:style>
  <w:style w:type="table" w:styleId="TableGrid">
    <w:name w:val="Table Grid"/>
    <w:basedOn w:val="TableNormal"/>
    <w:uiPriority w:val="99"/>
    <w:locked/>
    <w:rsid w:val="00EC54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981ED4"/>
    <w:rPr>
      <w:sz w:val="16"/>
      <w:szCs w:val="16"/>
    </w:rPr>
  </w:style>
  <w:style w:type="paragraph" w:styleId="CommentText">
    <w:name w:val="annotation text"/>
    <w:basedOn w:val="Normal"/>
    <w:link w:val="CommentTextChar"/>
    <w:uiPriority w:val="99"/>
    <w:semiHidden/>
    <w:unhideWhenUsed/>
    <w:rsid w:val="00981ED4"/>
    <w:rPr>
      <w:sz w:val="20"/>
      <w:szCs w:val="20"/>
    </w:rPr>
  </w:style>
  <w:style w:type="character" w:customStyle="1" w:styleId="CommentTextChar">
    <w:name w:val="Comment Text Char"/>
    <w:link w:val="CommentText"/>
    <w:uiPriority w:val="99"/>
    <w:semiHidden/>
    <w:rsid w:val="00981ED4"/>
    <w:rPr>
      <w:rFonts w:ascii="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981ED4"/>
    <w:rPr>
      <w:b/>
      <w:bCs/>
    </w:rPr>
  </w:style>
  <w:style w:type="character" w:customStyle="1" w:styleId="CommentSubjectChar">
    <w:name w:val="Comment Subject Char"/>
    <w:link w:val="CommentSubject"/>
    <w:uiPriority w:val="99"/>
    <w:semiHidden/>
    <w:rsid w:val="00981ED4"/>
    <w:rPr>
      <w:rFonts w:ascii="Trebuchet MS" w:hAnsi="Trebuchet MS" w:cs="Trebuchet MS"/>
      <w:b/>
      <w:bCs/>
      <w:sz w:val="20"/>
      <w:szCs w:val="20"/>
    </w:rPr>
  </w:style>
  <w:style w:type="paragraph" w:styleId="NormalWeb">
    <w:name w:val="Normal (Web)"/>
    <w:basedOn w:val="Normal"/>
    <w:uiPriority w:val="99"/>
    <w:semiHidden/>
    <w:unhideWhenUsed/>
    <w:rsid w:val="00D71C64"/>
    <w:pPr>
      <w:spacing w:before="100" w:beforeAutospacing="1" w:after="100" w:afterAutospacing="1"/>
    </w:pPr>
    <w:rPr>
      <w:rFonts w:ascii="Times New Roman" w:hAnsi="Times New Roman" w:cs="Times New Roman"/>
      <w:lang w:val="pl-PL" w:eastAsia="pl-PL"/>
    </w:rPr>
  </w:style>
  <w:style w:type="paragraph" w:customStyle="1" w:styleId="Default">
    <w:name w:val="Default"/>
    <w:rsid w:val="00D5635A"/>
    <w:pPr>
      <w:autoSpaceDE w:val="0"/>
      <w:autoSpaceDN w:val="0"/>
      <w:adjustRightInd w:val="0"/>
    </w:pPr>
    <w:rPr>
      <w:color w:val="000000"/>
      <w:sz w:val="24"/>
      <w:szCs w:val="24"/>
      <w:lang w:val="pl-PL"/>
    </w:rPr>
  </w:style>
</w:styles>
</file>

<file path=word/webSettings.xml><?xml version="1.0" encoding="utf-8"?>
<w:webSettings xmlns:r="http://schemas.openxmlformats.org/officeDocument/2006/relationships" xmlns:w="http://schemas.openxmlformats.org/wordprocessingml/2006/main">
  <w:divs>
    <w:div w:id="443770239">
      <w:bodyDiv w:val="1"/>
      <w:marLeft w:val="0"/>
      <w:marRight w:val="0"/>
      <w:marTop w:val="0"/>
      <w:marBottom w:val="0"/>
      <w:divBdr>
        <w:top w:val="none" w:sz="0" w:space="0" w:color="auto"/>
        <w:left w:val="none" w:sz="0" w:space="0" w:color="auto"/>
        <w:bottom w:val="none" w:sz="0" w:space="0" w:color="auto"/>
        <w:right w:val="none" w:sz="0" w:space="0" w:color="auto"/>
      </w:divBdr>
    </w:div>
    <w:div w:id="622073625">
      <w:bodyDiv w:val="1"/>
      <w:marLeft w:val="0"/>
      <w:marRight w:val="0"/>
      <w:marTop w:val="0"/>
      <w:marBottom w:val="0"/>
      <w:divBdr>
        <w:top w:val="none" w:sz="0" w:space="0" w:color="auto"/>
        <w:left w:val="none" w:sz="0" w:space="0" w:color="auto"/>
        <w:bottom w:val="none" w:sz="0" w:space="0" w:color="auto"/>
        <w:right w:val="none" w:sz="0" w:space="0" w:color="auto"/>
      </w:divBdr>
    </w:div>
    <w:div w:id="953832574">
      <w:bodyDiv w:val="1"/>
      <w:marLeft w:val="0"/>
      <w:marRight w:val="0"/>
      <w:marTop w:val="0"/>
      <w:marBottom w:val="0"/>
      <w:divBdr>
        <w:top w:val="none" w:sz="0" w:space="0" w:color="auto"/>
        <w:left w:val="none" w:sz="0" w:space="0" w:color="auto"/>
        <w:bottom w:val="none" w:sz="0" w:space="0" w:color="auto"/>
        <w:right w:val="none" w:sz="0" w:space="0" w:color="auto"/>
      </w:divBdr>
      <w:divsChild>
        <w:div w:id="307977998">
          <w:marLeft w:val="0"/>
          <w:marRight w:val="0"/>
          <w:marTop w:val="0"/>
          <w:marBottom w:val="0"/>
          <w:divBdr>
            <w:top w:val="none" w:sz="0" w:space="0" w:color="auto"/>
            <w:left w:val="none" w:sz="0" w:space="0" w:color="auto"/>
            <w:bottom w:val="none" w:sz="0" w:space="0" w:color="auto"/>
            <w:right w:val="none" w:sz="0" w:space="0" w:color="auto"/>
          </w:divBdr>
        </w:div>
      </w:divsChild>
    </w:div>
    <w:div w:id="182007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A4ACA4-C3C2-4F35-AE4B-1A7C5EF39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2165</Words>
  <Characters>12993</Characters>
  <Application>Microsoft Office Word</Application>
  <DocSecurity>0</DocSecurity>
  <Lines>108</Lines>
  <Paragraphs>30</Paragraphs>
  <ScaleCrop>false</ScaleCrop>
  <HeadingPairs>
    <vt:vector size="8" baseType="variant">
      <vt:variant>
        <vt:lpstr>Title</vt:lpstr>
      </vt:variant>
      <vt:variant>
        <vt:i4>1</vt:i4>
      </vt:variant>
      <vt:variant>
        <vt:lpstr>Tytuł</vt:lpstr>
      </vt:variant>
      <vt:variant>
        <vt:i4>1</vt:i4>
      </vt:variant>
      <vt:variant>
        <vt:lpstr>Titolo</vt:lpstr>
      </vt:variant>
      <vt:variant>
        <vt:i4>1</vt:i4>
      </vt:variant>
      <vt:variant>
        <vt:lpstr>Título</vt:lpstr>
      </vt:variant>
      <vt:variant>
        <vt:i4>1</vt:i4>
      </vt:variant>
    </vt:vector>
  </HeadingPairs>
  <TitlesOfParts>
    <vt:vector size="4" baseType="lpstr">
      <vt:lpstr>InGOS – Integrated non-CO2 Observing System</vt:lpstr>
      <vt:lpstr>InGOS – Integrated non-CO2 Observing System</vt:lpstr>
      <vt:lpstr>InGOS – Integrated non-CO2 Observing System</vt:lpstr>
      <vt:lpstr>InGOS – Integrated non-CO2 Observing System</vt:lpstr>
    </vt:vector>
  </TitlesOfParts>
  <Company>ECN</Company>
  <LinksUpToDate>false</LinksUpToDate>
  <CharactersWithSpaces>15128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InGOS – Integrated non-CO2 Observing System</dc:title>
  <dc:creator>Alex T. Vermeulen</dc:creator>
  <cp:lastModifiedBy>user</cp:lastModifiedBy>
  <cp:revision>10</cp:revision>
  <dcterms:created xsi:type="dcterms:W3CDTF">2014-06-03T20:48:00Z</dcterms:created>
  <dcterms:modified xsi:type="dcterms:W3CDTF">2014-06-05T12:29:00Z</dcterms:modified>
</cp:coreProperties>
</file>