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E" w:rsidRPr="00F82527" w:rsidRDefault="006C6BDE" w:rsidP="006C6BDE">
      <w:pPr>
        <w:jc w:val="left"/>
        <w:rPr>
          <w:rFonts w:ascii="Arial" w:hAnsi="Arial" w:cs="Arial"/>
          <w:b/>
          <w:color w:val="215868" w:themeColor="accent5" w:themeShade="80"/>
          <w:sz w:val="32"/>
          <w:szCs w:val="32"/>
          <w:lang w:val="en-US"/>
        </w:rPr>
      </w:pPr>
      <w:r w:rsidRPr="00F82527">
        <w:rPr>
          <w:rFonts w:ascii="Arial" w:hAnsi="Arial" w:cs="Arial"/>
          <w:b/>
          <w:color w:val="215868" w:themeColor="accent5" w:themeShade="80"/>
          <w:sz w:val="32"/>
          <w:szCs w:val="32"/>
          <w:lang w:val="en-US"/>
        </w:rPr>
        <w:t xml:space="preserve">   </w:t>
      </w:r>
    </w:p>
    <w:p w:rsidR="009B23D4" w:rsidRPr="00F82527" w:rsidRDefault="00F82527" w:rsidP="00C617CE">
      <w:pPr>
        <w:shd w:val="clear" w:color="auto" w:fill="DBE5F1" w:themeFill="accent1" w:themeFillTint="33"/>
        <w:rPr>
          <w:rFonts w:ascii="Arial" w:hAnsi="Arial" w:cs="Arial"/>
          <w:b/>
          <w:color w:val="215868" w:themeColor="accent5" w:themeShade="80"/>
          <w:sz w:val="32"/>
          <w:szCs w:val="32"/>
          <w:lang w:val="en-US"/>
        </w:rPr>
      </w:pPr>
      <w:r>
        <w:rPr>
          <w:rFonts w:ascii="Arial" w:hAnsi="Arial" w:cs="Arial"/>
          <w:b/>
          <w:noProof/>
          <w:color w:val="215868" w:themeColor="accent5" w:themeShade="80"/>
          <w:sz w:val="32"/>
          <w:szCs w:val="32"/>
          <w:lang w:val="de-CH" w:eastAsia="de-CH"/>
        </w:rPr>
        <w:drawing>
          <wp:inline distT="0" distB="0" distL="0" distR="0">
            <wp:extent cx="2495550" cy="952500"/>
            <wp:effectExtent l="0" t="0" r="0" b="0"/>
            <wp:docPr id="1" name="Picture 0" descr="ingoslogo_v2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a_small.png"/>
                    <pic:cNvPicPr/>
                  </pic:nvPicPr>
                  <pic:blipFill>
                    <a:blip r:embed="rId9" cstate="print"/>
                    <a:stretch>
                      <a:fillRect/>
                    </a:stretch>
                  </pic:blipFill>
                  <pic:spPr>
                    <a:xfrm>
                      <a:off x="0" y="0"/>
                      <a:ext cx="2495550" cy="952500"/>
                    </a:xfrm>
                    <a:prstGeom prst="rect">
                      <a:avLst/>
                    </a:prstGeom>
                  </pic:spPr>
                </pic:pic>
              </a:graphicData>
            </a:graphic>
          </wp:inline>
        </w:drawing>
      </w:r>
      <w:r w:rsidRPr="00F82527">
        <w:rPr>
          <w:rFonts w:ascii="Arial" w:hAnsi="Arial" w:cs="Arial"/>
          <w:b/>
          <w:color w:val="76923C" w:themeColor="accent3" w:themeShade="BF"/>
          <w:sz w:val="32"/>
          <w:szCs w:val="32"/>
          <w:lang w:val="en-US"/>
        </w:rPr>
        <w:t>InGOS</w:t>
      </w:r>
      <w:r w:rsidR="00AE7A1F" w:rsidRPr="00F82527">
        <w:rPr>
          <w:rFonts w:ascii="Arial" w:hAnsi="Arial" w:cs="Arial"/>
          <w:b/>
          <w:color w:val="76923C" w:themeColor="accent3" w:themeShade="BF"/>
          <w:sz w:val="32"/>
          <w:szCs w:val="32"/>
          <w:lang w:val="en-US"/>
        </w:rPr>
        <w:t xml:space="preserve"> </w:t>
      </w:r>
      <w:r w:rsidR="00EA53E6" w:rsidRPr="00F82527">
        <w:rPr>
          <w:rFonts w:ascii="Arial" w:hAnsi="Arial" w:cs="Arial"/>
          <w:b/>
          <w:color w:val="76923C" w:themeColor="accent3" w:themeShade="BF"/>
          <w:sz w:val="32"/>
          <w:szCs w:val="32"/>
          <w:lang w:val="en-US"/>
        </w:rPr>
        <w:t>TNA</w:t>
      </w:r>
      <w:r w:rsidR="006E414E">
        <w:rPr>
          <w:rFonts w:ascii="Arial" w:hAnsi="Arial" w:cs="Arial"/>
          <w:b/>
          <w:color w:val="76923C" w:themeColor="accent3" w:themeShade="BF"/>
          <w:sz w:val="32"/>
          <w:szCs w:val="32"/>
          <w:lang w:val="en-US"/>
        </w:rPr>
        <w:t xml:space="preserve"> 5</w:t>
      </w:r>
      <w:r w:rsidR="00EA53E6" w:rsidRPr="00F82527">
        <w:rPr>
          <w:rFonts w:ascii="Arial" w:hAnsi="Arial" w:cs="Arial"/>
          <w:b/>
          <w:color w:val="76923C" w:themeColor="accent3" w:themeShade="BF"/>
          <w:sz w:val="32"/>
          <w:szCs w:val="32"/>
          <w:lang w:val="en-US"/>
        </w:rPr>
        <w:t xml:space="preserve"> Activity Report</w:t>
      </w:r>
    </w:p>
    <w:p w:rsidR="00AE7A1F" w:rsidRPr="00F82527" w:rsidRDefault="00AE7A1F">
      <w:pPr>
        <w:rPr>
          <w:rFonts w:ascii="Arial" w:hAnsi="Arial" w:cs="Arial"/>
          <w:b/>
          <w:sz w:val="36"/>
          <w:szCs w:val="36"/>
          <w:lang w:val="en-US"/>
        </w:rPr>
      </w:pPr>
    </w:p>
    <w:p w:rsidR="00AE7A1F" w:rsidRDefault="00EC5DFF" w:rsidP="00EC5DFF">
      <w:pPr>
        <w:spacing w:after="120"/>
        <w:rPr>
          <w:rFonts w:ascii="Arial" w:hAnsi="Arial" w:cs="Arial"/>
          <w:b/>
          <w:sz w:val="24"/>
          <w:szCs w:val="24"/>
          <w:lang w:val="en-US"/>
        </w:rPr>
      </w:pPr>
      <w:r>
        <w:rPr>
          <w:rFonts w:ascii="Arial" w:hAnsi="Arial" w:cs="Arial"/>
          <w:b/>
          <w:sz w:val="24"/>
          <w:szCs w:val="24"/>
          <w:lang w:val="en-US"/>
        </w:rPr>
        <w:t>D</w:t>
      </w:r>
      <w:r w:rsidRPr="00EC5DFF">
        <w:rPr>
          <w:rFonts w:ascii="Arial" w:hAnsi="Arial" w:cs="Arial"/>
          <w:b/>
          <w:sz w:val="24"/>
          <w:szCs w:val="24"/>
          <w:lang w:val="en-US"/>
        </w:rPr>
        <w:t>etermine isotopic signatures (</w:t>
      </w:r>
      <w:r w:rsidRPr="00EC5DFF">
        <w:rPr>
          <w:rFonts w:ascii="Arial" w:hAnsi="Arial" w:cs="Arial"/>
          <w:b/>
          <w:sz w:val="24"/>
          <w:szCs w:val="24"/>
          <w:vertAlign w:val="superscript"/>
          <w:lang w:val="en-US"/>
        </w:rPr>
        <w:t>13</w:t>
      </w:r>
      <w:r w:rsidRPr="00EC5DFF">
        <w:rPr>
          <w:rFonts w:ascii="Arial" w:hAnsi="Arial" w:cs="Arial"/>
          <w:b/>
          <w:sz w:val="24"/>
          <w:szCs w:val="24"/>
          <w:lang w:val="en-US"/>
        </w:rPr>
        <w:t xml:space="preserve">C and </w:t>
      </w:r>
      <w:r w:rsidRPr="00EC5DFF">
        <w:rPr>
          <w:rFonts w:ascii="Arial" w:hAnsi="Arial" w:cs="Arial"/>
          <w:b/>
          <w:sz w:val="24"/>
          <w:szCs w:val="24"/>
          <w:vertAlign w:val="superscript"/>
          <w:lang w:val="en-US"/>
        </w:rPr>
        <w:t>2</w:t>
      </w:r>
      <w:r w:rsidRPr="00EC5DFF">
        <w:rPr>
          <w:rFonts w:ascii="Arial" w:hAnsi="Arial" w:cs="Arial"/>
          <w:b/>
          <w:sz w:val="24"/>
          <w:szCs w:val="24"/>
          <w:lang w:val="en-US"/>
        </w:rPr>
        <w:t>H) of CH</w:t>
      </w:r>
      <w:r w:rsidRPr="00EC5DFF">
        <w:rPr>
          <w:rFonts w:ascii="Arial" w:hAnsi="Arial" w:cs="Arial"/>
          <w:b/>
          <w:sz w:val="24"/>
          <w:szCs w:val="24"/>
          <w:vertAlign w:val="subscript"/>
          <w:lang w:val="en-US"/>
        </w:rPr>
        <w:t>4</w:t>
      </w:r>
      <w:r w:rsidRPr="00EC5DFF">
        <w:rPr>
          <w:rFonts w:ascii="Arial" w:hAnsi="Arial" w:cs="Arial"/>
          <w:b/>
          <w:sz w:val="24"/>
          <w:szCs w:val="24"/>
          <w:lang w:val="en-US"/>
        </w:rPr>
        <w:t xml:space="preserve"> at a representative urban site</w:t>
      </w:r>
    </w:p>
    <w:p w:rsidR="008A0EF2" w:rsidRPr="00F82527" w:rsidRDefault="008A0EF2" w:rsidP="006C6BDE">
      <w:pPr>
        <w:spacing w:after="120"/>
        <w:rPr>
          <w:rFonts w:ascii="Arial" w:hAnsi="Arial" w:cs="Arial"/>
          <w:b/>
          <w:sz w:val="24"/>
          <w:szCs w:val="24"/>
          <w:lang w:val="en-US"/>
        </w:rPr>
      </w:pPr>
    </w:p>
    <w:p w:rsidR="00AE7A1F" w:rsidRDefault="00EC5DFF">
      <w:pPr>
        <w:rPr>
          <w:rFonts w:ascii="Arial" w:hAnsi="Arial" w:cs="Arial"/>
          <w:b/>
          <w:sz w:val="24"/>
          <w:szCs w:val="24"/>
          <w:lang w:val="en-US"/>
        </w:rPr>
      </w:pPr>
      <w:r>
        <w:rPr>
          <w:rFonts w:ascii="Arial" w:hAnsi="Arial" w:cs="Arial"/>
          <w:b/>
          <w:sz w:val="24"/>
          <w:szCs w:val="24"/>
          <w:lang w:val="en-US"/>
        </w:rPr>
        <w:t>Applicant name: Joachim Mohn / Empa</w:t>
      </w:r>
    </w:p>
    <w:p w:rsidR="008A0EF2" w:rsidRDefault="008A0EF2">
      <w:pPr>
        <w:rPr>
          <w:rFonts w:ascii="Arial" w:hAnsi="Arial" w:cs="Arial"/>
          <w:b/>
          <w:sz w:val="24"/>
          <w:szCs w:val="24"/>
          <w:lang w:val="en-US"/>
        </w:rPr>
      </w:pPr>
    </w:p>
    <w:p w:rsidR="008A0EF2" w:rsidRPr="00F82527" w:rsidRDefault="00EC5DFF">
      <w:pPr>
        <w:rPr>
          <w:rFonts w:ascii="Arial" w:hAnsi="Arial" w:cs="Arial"/>
          <w:b/>
          <w:sz w:val="24"/>
          <w:szCs w:val="24"/>
          <w:lang w:val="en-US"/>
        </w:rPr>
      </w:pPr>
      <w:r>
        <w:rPr>
          <w:rFonts w:ascii="Arial" w:hAnsi="Arial" w:cs="Arial"/>
          <w:b/>
          <w:sz w:val="24"/>
          <w:szCs w:val="24"/>
          <w:lang w:val="en-US"/>
        </w:rPr>
        <w:t>Application number: 745</w:t>
      </w:r>
    </w:p>
    <w:p w:rsidR="00EA53E6" w:rsidRPr="00F82527" w:rsidRDefault="00EA53E6">
      <w:pPr>
        <w:rPr>
          <w:rFonts w:ascii="Arial" w:hAnsi="Arial" w:cs="Arial"/>
          <w:b/>
          <w:sz w:val="24"/>
          <w:szCs w:val="24"/>
          <w:lang w:val="en-US"/>
        </w:rPr>
      </w:pPr>
    </w:p>
    <w:p w:rsidR="00EA53E6" w:rsidRPr="00F82527" w:rsidRDefault="00EA53E6" w:rsidP="00EA53E6">
      <w:pPr>
        <w:jc w:val="left"/>
        <w:rPr>
          <w:rFonts w:ascii="Arial" w:hAnsi="Arial" w:cs="Arial"/>
          <w:color w:val="4F6228" w:themeColor="accent3" w:themeShade="80"/>
          <w:lang w:val="en-US"/>
        </w:rPr>
      </w:pPr>
      <w:r w:rsidRPr="00F82527">
        <w:rPr>
          <w:rFonts w:ascii="Arial" w:hAnsi="Arial" w:cs="Arial"/>
          <w:color w:val="4F6228" w:themeColor="accent3" w:themeShade="80"/>
          <w:lang w:val="en-US"/>
        </w:rPr>
        <w:t xml:space="preserve">Please limit the report to </w:t>
      </w:r>
      <w:r w:rsidR="00B529FE" w:rsidRPr="00F82527">
        <w:rPr>
          <w:rFonts w:ascii="Arial" w:hAnsi="Arial" w:cs="Arial"/>
          <w:color w:val="4F6228" w:themeColor="accent3" w:themeShade="80"/>
          <w:lang w:val="en-US"/>
        </w:rPr>
        <w:t>max</w:t>
      </w:r>
      <w:r w:rsidRPr="00F82527">
        <w:rPr>
          <w:rFonts w:ascii="Arial" w:hAnsi="Arial" w:cs="Arial"/>
          <w:color w:val="4F6228" w:themeColor="accent3" w:themeShade="80"/>
          <w:lang w:val="en-US"/>
        </w:rPr>
        <w:t xml:space="preserve"> </w:t>
      </w:r>
      <w:r w:rsidR="00AE7A1F" w:rsidRPr="00F82527">
        <w:rPr>
          <w:rFonts w:ascii="Arial" w:hAnsi="Arial" w:cs="Arial"/>
          <w:color w:val="4F6228" w:themeColor="accent3" w:themeShade="80"/>
          <w:lang w:val="en-US"/>
        </w:rPr>
        <w:t>3-</w:t>
      </w:r>
      <w:r w:rsidRPr="00F82527">
        <w:rPr>
          <w:rFonts w:ascii="Arial" w:hAnsi="Arial" w:cs="Arial"/>
          <w:color w:val="4F6228" w:themeColor="accent3" w:themeShade="80"/>
          <w:lang w:val="en-US"/>
        </w:rPr>
        <w:t>5 pages, including tables and figures.</w:t>
      </w:r>
    </w:p>
    <w:p w:rsidR="00EA53E6" w:rsidRPr="00F82527" w:rsidRDefault="00EA53E6" w:rsidP="00EA53E6">
      <w:pPr>
        <w:jc w:val="left"/>
        <w:rPr>
          <w:rFonts w:ascii="Arial" w:hAnsi="Arial" w:cs="Arial"/>
          <w:color w:val="4F6228" w:themeColor="accent3" w:themeShade="80"/>
          <w:lang w:val="en-US"/>
        </w:rPr>
      </w:pPr>
      <w:r w:rsidRPr="00F82527">
        <w:rPr>
          <w:rFonts w:ascii="Arial" w:hAnsi="Arial" w:cs="Arial"/>
          <w:color w:val="4F6228" w:themeColor="accent3" w:themeShade="80"/>
          <w:lang w:val="en-US"/>
        </w:rPr>
        <w:t xml:space="preserve">The report should </w:t>
      </w:r>
      <w:r w:rsidR="00AE7A1F" w:rsidRPr="00F82527">
        <w:rPr>
          <w:rFonts w:ascii="Arial" w:hAnsi="Arial" w:cs="Arial"/>
          <w:color w:val="4F6228" w:themeColor="accent3" w:themeShade="80"/>
          <w:lang w:val="en-US"/>
        </w:rPr>
        <w:t xml:space="preserve">be sent as </w:t>
      </w:r>
      <w:r w:rsidR="002C586A" w:rsidRPr="00F82527">
        <w:rPr>
          <w:rFonts w:ascii="Arial" w:hAnsi="Arial" w:cs="Arial"/>
          <w:color w:val="4F6228" w:themeColor="accent3" w:themeShade="80"/>
          <w:lang w:val="en-US"/>
        </w:rPr>
        <w:t xml:space="preserve">a </w:t>
      </w:r>
      <w:r w:rsidR="00AE7A1F" w:rsidRPr="00F82527">
        <w:rPr>
          <w:rFonts w:ascii="Arial" w:hAnsi="Arial" w:cs="Arial"/>
          <w:color w:val="4F6228" w:themeColor="accent3" w:themeShade="80"/>
          <w:lang w:val="en-US"/>
        </w:rPr>
        <w:t xml:space="preserve">pdf document and </w:t>
      </w:r>
      <w:r w:rsidRPr="00F82527">
        <w:rPr>
          <w:rFonts w:ascii="Arial" w:hAnsi="Arial" w:cs="Arial"/>
          <w:color w:val="4F6228" w:themeColor="accent3" w:themeShade="80"/>
          <w:lang w:val="en-US"/>
        </w:rPr>
        <w:t>include the following subheadings:</w:t>
      </w:r>
    </w:p>
    <w:p w:rsidR="00EA53E6" w:rsidRPr="00F82527" w:rsidRDefault="00EA53E6" w:rsidP="00EA53E6">
      <w:pPr>
        <w:jc w:val="left"/>
        <w:rPr>
          <w:rFonts w:ascii="Arial" w:hAnsi="Arial" w:cs="Arial"/>
          <w:i/>
          <w:lang w:val="en-US"/>
        </w:rPr>
      </w:pPr>
    </w:p>
    <w:p w:rsidR="00EA53E6" w:rsidRDefault="00A814DD" w:rsidP="00EC5DFF">
      <w:pPr>
        <w:pStyle w:val="Listenabsatz"/>
        <w:numPr>
          <w:ilvl w:val="0"/>
          <w:numId w:val="1"/>
        </w:numPr>
        <w:spacing w:line="276" w:lineRule="auto"/>
        <w:jc w:val="left"/>
        <w:rPr>
          <w:rFonts w:ascii="Arial" w:hAnsi="Arial" w:cs="Arial"/>
          <w:lang w:val="en-US"/>
        </w:rPr>
      </w:pPr>
      <w:r>
        <w:rPr>
          <w:rFonts w:ascii="Arial" w:hAnsi="Arial" w:cs="Arial"/>
          <w:lang w:val="en-US"/>
        </w:rPr>
        <w:t xml:space="preserve">Introduction, </w:t>
      </w:r>
      <w:r w:rsidR="00EA53E6" w:rsidRPr="00EC5DFF">
        <w:rPr>
          <w:rFonts w:ascii="Arial" w:hAnsi="Arial" w:cs="Arial"/>
          <w:lang w:val="en-US"/>
        </w:rPr>
        <w:t>motivation</w:t>
      </w:r>
      <w:r>
        <w:rPr>
          <w:rFonts w:ascii="Arial" w:hAnsi="Arial" w:cs="Arial"/>
          <w:lang w:val="en-US"/>
        </w:rPr>
        <w:t xml:space="preserve"> and scientific objectives</w:t>
      </w:r>
    </w:p>
    <w:p w:rsidR="00B874DA" w:rsidRDefault="00B874DA" w:rsidP="00EC5DFF">
      <w:pPr>
        <w:spacing w:line="276" w:lineRule="auto"/>
        <w:jc w:val="left"/>
        <w:rPr>
          <w:rFonts w:ascii="Arial" w:hAnsi="Arial" w:cs="Arial"/>
          <w:lang w:val="en-US"/>
        </w:rPr>
      </w:pPr>
    </w:p>
    <w:p w:rsidR="003E5980" w:rsidRDefault="003E5980" w:rsidP="003E5980">
      <w:pPr>
        <w:spacing w:line="276" w:lineRule="auto"/>
        <w:jc w:val="left"/>
        <w:rPr>
          <w:rFonts w:ascii="Arial" w:hAnsi="Arial" w:cs="Arial"/>
          <w:lang w:val="en-US"/>
        </w:rPr>
      </w:pPr>
      <w:r w:rsidRPr="003E5980">
        <w:rPr>
          <w:rFonts w:ascii="Arial" w:hAnsi="Arial" w:cs="Arial"/>
          <w:lang w:val="en-US"/>
        </w:rPr>
        <w:t>Methane (CH</w:t>
      </w:r>
      <w:r w:rsidRPr="003E5980">
        <w:rPr>
          <w:rFonts w:ascii="Arial" w:hAnsi="Arial" w:cs="Arial"/>
          <w:vertAlign w:val="subscript"/>
          <w:lang w:val="en-US"/>
        </w:rPr>
        <w:t>4</w:t>
      </w:r>
      <w:r w:rsidRPr="003E5980">
        <w:rPr>
          <w:rFonts w:ascii="Arial" w:hAnsi="Arial" w:cs="Arial"/>
          <w:lang w:val="en-US"/>
        </w:rPr>
        <w:t xml:space="preserve">) is the most important </w:t>
      </w:r>
      <w:proofErr w:type="spellStart"/>
      <w:r w:rsidRPr="003E5980">
        <w:rPr>
          <w:rFonts w:ascii="Arial" w:hAnsi="Arial" w:cs="Arial"/>
          <w:lang w:val="en-US"/>
        </w:rPr>
        <w:t>anthropogenically</w:t>
      </w:r>
      <w:proofErr w:type="spellEnd"/>
      <w:r w:rsidRPr="003E5980">
        <w:rPr>
          <w:rFonts w:ascii="Arial" w:hAnsi="Arial" w:cs="Arial"/>
          <w:lang w:val="en-US"/>
        </w:rPr>
        <w:t xml:space="preserve"> emitted non-carbon dioxide (CO</w:t>
      </w:r>
      <w:r w:rsidRPr="003E5980">
        <w:rPr>
          <w:rFonts w:ascii="Arial" w:hAnsi="Arial" w:cs="Arial"/>
          <w:vertAlign w:val="subscript"/>
          <w:lang w:val="en-US"/>
        </w:rPr>
        <w:t>2</w:t>
      </w:r>
      <w:r w:rsidRPr="003E5980">
        <w:rPr>
          <w:rFonts w:ascii="Arial" w:hAnsi="Arial" w:cs="Arial"/>
          <w:lang w:val="en-US"/>
        </w:rPr>
        <w:t>) greenhouse gas. Its mixing ratio has increased since pre-industrial time from around 722 to 1824 ppb (parts-per-billion, 10</w:t>
      </w:r>
      <w:r w:rsidRPr="003E5980">
        <w:rPr>
          <w:rFonts w:ascii="Arial" w:hAnsi="Arial" w:cs="Arial"/>
          <w:vertAlign w:val="superscript"/>
          <w:lang w:val="en-US"/>
        </w:rPr>
        <w:t>-9</w:t>
      </w:r>
      <w:r w:rsidRPr="003E5980">
        <w:rPr>
          <w:rFonts w:ascii="Arial" w:hAnsi="Arial" w:cs="Arial"/>
          <w:lang w:val="en-US"/>
        </w:rPr>
        <w:t xml:space="preserve"> moles of trace gas per mole of dry air) in 2013 and the anthropogenic fraction is estimated to be 60</w:t>
      </w:r>
      <w:r w:rsidR="00463768">
        <w:rPr>
          <w:rFonts w:ascii="Arial" w:hAnsi="Arial" w:cs="Arial"/>
          <w:lang w:val="en-US"/>
        </w:rPr>
        <w:t xml:space="preserve"> </w:t>
      </w:r>
      <w:r w:rsidRPr="003E5980">
        <w:rPr>
          <w:rFonts w:ascii="Arial" w:hAnsi="Arial" w:cs="Arial"/>
          <w:lang w:val="en-US"/>
        </w:rPr>
        <w:t xml:space="preserve">% of the total emissions. While the trend of the tropospheric methane mixing ratio and the most important source and sink processes, wetlands, ruminants, rice agriculture, fossil fuel exploitation, landfills and biomass burning, are relatively well known, much uncertainty remains on the strength and </w:t>
      </w:r>
      <w:proofErr w:type="spellStart"/>
      <w:r w:rsidRPr="003E5980">
        <w:rPr>
          <w:rFonts w:ascii="Arial" w:hAnsi="Arial" w:cs="Arial"/>
          <w:lang w:val="en-US"/>
        </w:rPr>
        <w:t>spatio</w:t>
      </w:r>
      <w:proofErr w:type="spellEnd"/>
      <w:r w:rsidRPr="003E5980">
        <w:rPr>
          <w:rFonts w:ascii="Arial" w:hAnsi="Arial" w:cs="Arial"/>
          <w:lang w:val="en-US"/>
        </w:rPr>
        <w:t xml:space="preserve">-temporal variability of individual sources. </w:t>
      </w:r>
    </w:p>
    <w:p w:rsidR="003E5980" w:rsidRDefault="003E5980" w:rsidP="003E5980">
      <w:pPr>
        <w:spacing w:line="276" w:lineRule="auto"/>
        <w:jc w:val="left"/>
        <w:rPr>
          <w:rFonts w:ascii="Arial" w:hAnsi="Arial" w:cs="Arial"/>
          <w:lang w:val="en-US"/>
        </w:rPr>
      </w:pPr>
    </w:p>
    <w:p w:rsidR="001D1575" w:rsidRDefault="003E5980" w:rsidP="003E5980">
      <w:pPr>
        <w:spacing w:line="276" w:lineRule="auto"/>
        <w:jc w:val="left"/>
        <w:rPr>
          <w:rFonts w:ascii="Arial" w:hAnsi="Arial" w:cs="Arial"/>
          <w:lang w:val="en-US"/>
        </w:rPr>
      </w:pPr>
      <w:r w:rsidRPr="003E5980">
        <w:rPr>
          <w:rFonts w:ascii="Arial" w:hAnsi="Arial" w:cs="Arial"/>
          <w:lang w:val="en-US"/>
        </w:rPr>
        <w:t>CH</w:t>
      </w:r>
      <w:r w:rsidRPr="003E5980">
        <w:rPr>
          <w:rFonts w:ascii="Arial" w:hAnsi="Arial" w:cs="Arial"/>
          <w:vertAlign w:val="subscript"/>
          <w:lang w:val="en-US"/>
        </w:rPr>
        <w:t>4</w:t>
      </w:r>
      <w:r w:rsidRPr="003E5980">
        <w:rPr>
          <w:rFonts w:ascii="Arial" w:hAnsi="Arial" w:cs="Arial"/>
          <w:lang w:val="en-US"/>
        </w:rPr>
        <w:t xml:space="preserve"> source processes can be distinguished measuring the most abundant methane </w:t>
      </w:r>
      <w:proofErr w:type="spellStart"/>
      <w:r w:rsidRPr="003E5980">
        <w:rPr>
          <w:rFonts w:ascii="Arial" w:hAnsi="Arial" w:cs="Arial"/>
          <w:lang w:val="en-US"/>
        </w:rPr>
        <w:t>isotopologues</w:t>
      </w:r>
      <w:proofErr w:type="spellEnd"/>
      <w:r w:rsidRPr="003E5980">
        <w:rPr>
          <w:rFonts w:ascii="Arial" w:hAnsi="Arial" w:cs="Arial"/>
          <w:lang w:val="en-US"/>
        </w:rPr>
        <w:t xml:space="preserve">: </w:t>
      </w:r>
      <w:r w:rsidRPr="003E5980">
        <w:rPr>
          <w:rFonts w:ascii="Arial" w:hAnsi="Arial" w:cs="Arial"/>
          <w:vertAlign w:val="superscript"/>
          <w:lang w:val="en-US"/>
        </w:rPr>
        <w:t>12</w:t>
      </w:r>
      <w:r w:rsidRPr="003E5980">
        <w:rPr>
          <w:rFonts w:ascii="Arial" w:hAnsi="Arial" w:cs="Arial"/>
          <w:lang w:val="en-US"/>
        </w:rPr>
        <w:t>CH</w:t>
      </w:r>
      <w:r w:rsidRPr="003E5980">
        <w:rPr>
          <w:rFonts w:ascii="Arial" w:hAnsi="Arial" w:cs="Arial"/>
          <w:vertAlign w:val="subscript"/>
          <w:lang w:val="en-US"/>
        </w:rPr>
        <w:t>4</w:t>
      </w:r>
      <w:r w:rsidRPr="003E5980">
        <w:rPr>
          <w:rFonts w:ascii="Arial" w:hAnsi="Arial" w:cs="Arial"/>
          <w:lang w:val="en-US"/>
        </w:rPr>
        <w:t xml:space="preserve">, </w:t>
      </w:r>
      <w:r w:rsidRPr="003E5980">
        <w:rPr>
          <w:rFonts w:ascii="Arial" w:hAnsi="Arial" w:cs="Arial"/>
          <w:vertAlign w:val="superscript"/>
          <w:lang w:val="en-US"/>
        </w:rPr>
        <w:t>13</w:t>
      </w:r>
      <w:r w:rsidRPr="003E5980">
        <w:rPr>
          <w:rFonts w:ascii="Arial" w:hAnsi="Arial" w:cs="Arial"/>
          <w:lang w:val="en-US"/>
        </w:rPr>
        <w:t>CH</w:t>
      </w:r>
      <w:r w:rsidRPr="003E5980">
        <w:rPr>
          <w:rFonts w:ascii="Arial" w:hAnsi="Arial" w:cs="Arial"/>
          <w:vertAlign w:val="subscript"/>
          <w:lang w:val="en-US"/>
        </w:rPr>
        <w:t>4</w:t>
      </w:r>
      <w:r w:rsidRPr="003E5980">
        <w:rPr>
          <w:rFonts w:ascii="Arial" w:hAnsi="Arial" w:cs="Arial"/>
          <w:lang w:val="en-US"/>
        </w:rPr>
        <w:t xml:space="preserve"> and CH</w:t>
      </w:r>
      <w:r w:rsidRPr="003E5980">
        <w:rPr>
          <w:rFonts w:ascii="Arial" w:hAnsi="Arial" w:cs="Arial"/>
          <w:vertAlign w:val="subscript"/>
          <w:lang w:val="en-US"/>
        </w:rPr>
        <w:t>3</w:t>
      </w:r>
      <w:r w:rsidRPr="003E5980">
        <w:rPr>
          <w:rFonts w:ascii="Arial" w:hAnsi="Arial" w:cs="Arial"/>
          <w:lang w:val="en-US"/>
        </w:rPr>
        <w:t>D. Analysis of CH</w:t>
      </w:r>
      <w:r w:rsidRPr="003E5980">
        <w:rPr>
          <w:rFonts w:ascii="Arial" w:hAnsi="Arial" w:cs="Arial"/>
          <w:vertAlign w:val="subscript"/>
          <w:lang w:val="en-US"/>
        </w:rPr>
        <w:t>4</w:t>
      </w:r>
      <w:r w:rsidRPr="003E5980">
        <w:rPr>
          <w:rFonts w:ascii="Arial" w:hAnsi="Arial" w:cs="Arial"/>
          <w:lang w:val="en-US"/>
        </w:rPr>
        <w:t xml:space="preserve"> mixing ratios and isotopic composition with inverse modelling techniques and chemical transport models has been applied to validate emission scenarios. Current modelling approaches, however, are restricted by the limited continuity of </w:t>
      </w:r>
      <w:r w:rsidRPr="003E5980">
        <w:rPr>
          <w:rFonts w:ascii="Symbol" w:hAnsi="Symbol" w:cs="Arial"/>
          <w:lang w:val="en-US"/>
        </w:rPr>
        <w:t></w:t>
      </w:r>
      <w:r w:rsidRPr="003E5980">
        <w:rPr>
          <w:rFonts w:ascii="Arial" w:hAnsi="Arial" w:cs="Arial"/>
          <w:vertAlign w:val="superscript"/>
          <w:lang w:val="en-US"/>
        </w:rPr>
        <w:t>13</w:t>
      </w:r>
      <w:r w:rsidRPr="003E5980">
        <w:rPr>
          <w:rFonts w:ascii="Arial" w:hAnsi="Arial" w:cs="Arial"/>
          <w:lang w:val="en-US"/>
        </w:rPr>
        <w:t>C-CH</w:t>
      </w:r>
      <w:r w:rsidRPr="003E5980">
        <w:rPr>
          <w:rFonts w:ascii="Arial" w:hAnsi="Arial" w:cs="Arial"/>
          <w:vertAlign w:val="subscript"/>
          <w:lang w:val="en-US"/>
        </w:rPr>
        <w:t>4</w:t>
      </w:r>
      <w:r w:rsidRPr="003E5980">
        <w:rPr>
          <w:rFonts w:ascii="Arial" w:hAnsi="Arial" w:cs="Arial"/>
          <w:lang w:val="en-US"/>
        </w:rPr>
        <w:t xml:space="preserve"> measurements and the limited availability of </w:t>
      </w:r>
      <w:r w:rsidRPr="003E5980">
        <w:rPr>
          <w:rFonts w:ascii="Symbol" w:hAnsi="Symbol" w:cs="Arial"/>
          <w:lang w:val="en-US"/>
        </w:rPr>
        <w:t></w:t>
      </w:r>
      <w:r w:rsidRPr="003E5980">
        <w:rPr>
          <w:rFonts w:ascii="Arial" w:hAnsi="Arial" w:cs="Arial"/>
          <w:lang w:val="en-US"/>
        </w:rPr>
        <w:t>D-CH</w:t>
      </w:r>
      <w:r w:rsidRPr="003E5980">
        <w:rPr>
          <w:rFonts w:ascii="Arial" w:hAnsi="Arial" w:cs="Arial"/>
          <w:vertAlign w:val="subscript"/>
          <w:lang w:val="en-US"/>
        </w:rPr>
        <w:t>4</w:t>
      </w:r>
      <w:r w:rsidRPr="003E5980">
        <w:rPr>
          <w:rFonts w:ascii="Arial" w:hAnsi="Arial" w:cs="Arial"/>
          <w:lang w:val="en-US"/>
        </w:rPr>
        <w:t xml:space="preserve"> data. </w:t>
      </w:r>
      <w:r w:rsidR="00E24A78">
        <w:rPr>
          <w:rFonts w:ascii="Arial" w:hAnsi="Arial" w:cs="Arial"/>
          <w:lang w:val="en-US"/>
        </w:rPr>
        <w:t>I</w:t>
      </w:r>
      <w:r w:rsidRPr="003E5980">
        <w:rPr>
          <w:rFonts w:ascii="Arial" w:hAnsi="Arial" w:cs="Arial"/>
          <w:lang w:val="en-US"/>
        </w:rPr>
        <w:t>sotope ratio mass spectrometry (IRMS) is the standard technique to analy</w:t>
      </w:r>
      <w:r>
        <w:rPr>
          <w:rFonts w:ascii="Arial" w:hAnsi="Arial" w:cs="Arial"/>
          <w:lang w:val="en-US"/>
        </w:rPr>
        <w:t>z</w:t>
      </w:r>
      <w:r w:rsidRPr="003E5980">
        <w:rPr>
          <w:rFonts w:ascii="Arial" w:hAnsi="Arial" w:cs="Arial"/>
          <w:lang w:val="en-US"/>
        </w:rPr>
        <w:t xml:space="preserve">e </w:t>
      </w:r>
      <w:r w:rsidR="001D1575" w:rsidRPr="001D1575">
        <w:rPr>
          <w:rFonts w:ascii="Symbol" w:hAnsi="Symbol" w:cs="Arial"/>
          <w:lang w:val="en-US"/>
        </w:rPr>
        <w:t></w:t>
      </w:r>
      <w:r w:rsidRPr="001D1575">
        <w:rPr>
          <w:rFonts w:ascii="Arial" w:hAnsi="Arial" w:cs="Arial"/>
          <w:vertAlign w:val="superscript"/>
          <w:lang w:val="en-US"/>
        </w:rPr>
        <w:t>13</w:t>
      </w:r>
      <w:r w:rsidRPr="003E5980">
        <w:rPr>
          <w:rFonts w:ascii="Arial" w:hAnsi="Arial" w:cs="Arial"/>
          <w:lang w:val="en-US"/>
        </w:rPr>
        <w:t xml:space="preserve">C- and </w:t>
      </w:r>
      <w:r w:rsidR="001D1575" w:rsidRPr="001D1575">
        <w:rPr>
          <w:rFonts w:ascii="Symbol" w:hAnsi="Symbol" w:cs="Arial"/>
          <w:lang w:val="en-US"/>
        </w:rPr>
        <w:t></w:t>
      </w:r>
      <w:r w:rsidRPr="003E5980">
        <w:rPr>
          <w:rFonts w:ascii="Arial" w:hAnsi="Arial" w:cs="Arial"/>
          <w:lang w:val="en-US"/>
        </w:rPr>
        <w:t>D-CH</w:t>
      </w:r>
      <w:r w:rsidRPr="001D1575">
        <w:rPr>
          <w:rFonts w:ascii="Arial" w:hAnsi="Arial" w:cs="Arial"/>
          <w:vertAlign w:val="subscript"/>
          <w:lang w:val="en-US"/>
        </w:rPr>
        <w:t>4</w:t>
      </w:r>
      <w:r w:rsidRPr="003E5980">
        <w:rPr>
          <w:rFonts w:ascii="Arial" w:hAnsi="Arial" w:cs="Arial"/>
          <w:lang w:val="en-US"/>
        </w:rPr>
        <w:t xml:space="preserve"> in ambient air. However, IRMS is a laboratory based technique and therefore relies on flask sampling which severely limits its temporal and spatial resolution capability. </w:t>
      </w:r>
    </w:p>
    <w:p w:rsidR="001D1575" w:rsidRDefault="001D1575" w:rsidP="003E5980">
      <w:pPr>
        <w:spacing w:line="276" w:lineRule="auto"/>
        <w:jc w:val="left"/>
        <w:rPr>
          <w:rFonts w:ascii="Arial" w:hAnsi="Arial" w:cs="Arial"/>
          <w:lang w:val="en-US"/>
        </w:rPr>
      </w:pPr>
    </w:p>
    <w:p w:rsidR="00E24A78" w:rsidRDefault="00E24A78" w:rsidP="003E5980">
      <w:pPr>
        <w:spacing w:line="276" w:lineRule="auto"/>
        <w:jc w:val="left"/>
        <w:rPr>
          <w:rFonts w:ascii="Arial" w:hAnsi="Arial" w:cs="Arial"/>
          <w:lang w:val="en-US"/>
        </w:rPr>
      </w:pPr>
      <w:r w:rsidRPr="00E24A78">
        <w:rPr>
          <w:rFonts w:ascii="Arial" w:hAnsi="Arial" w:cs="Arial"/>
          <w:lang w:val="en-US"/>
        </w:rPr>
        <w:t>At Empa a completely new measurement technique for real-time high precision isotopic measurements of methane isotopic composition (</w:t>
      </w:r>
      <w:r w:rsidRPr="00E24A78">
        <w:rPr>
          <w:rFonts w:ascii="Symbol" w:hAnsi="Symbol" w:cs="Arial"/>
          <w:lang w:val="en-US"/>
        </w:rPr>
        <w:t></w:t>
      </w:r>
      <w:r w:rsidRPr="00E24A78">
        <w:rPr>
          <w:rFonts w:ascii="Arial" w:hAnsi="Arial" w:cs="Arial"/>
          <w:vertAlign w:val="superscript"/>
          <w:lang w:val="en-US"/>
        </w:rPr>
        <w:t>13</w:t>
      </w:r>
      <w:r w:rsidRPr="00E24A78">
        <w:rPr>
          <w:rFonts w:ascii="Arial" w:hAnsi="Arial" w:cs="Arial"/>
          <w:lang w:val="en-US"/>
        </w:rPr>
        <w:t>C-CH</w:t>
      </w:r>
      <w:r w:rsidRPr="00E24A78">
        <w:rPr>
          <w:rFonts w:ascii="Arial" w:hAnsi="Arial" w:cs="Arial"/>
          <w:vertAlign w:val="subscript"/>
          <w:lang w:val="en-US"/>
        </w:rPr>
        <w:t>4</w:t>
      </w:r>
      <w:r w:rsidRPr="00E24A78">
        <w:rPr>
          <w:rFonts w:ascii="Arial" w:hAnsi="Arial" w:cs="Arial"/>
          <w:lang w:val="en-US"/>
        </w:rPr>
        <w:t xml:space="preserve">, </w:t>
      </w:r>
      <w:r w:rsidRPr="00E24A78">
        <w:rPr>
          <w:rFonts w:ascii="Symbol" w:hAnsi="Symbol" w:cs="Arial"/>
          <w:lang w:val="en-US"/>
        </w:rPr>
        <w:t></w:t>
      </w:r>
      <w:r w:rsidRPr="00E24A78">
        <w:rPr>
          <w:rFonts w:ascii="Arial" w:hAnsi="Arial" w:cs="Arial"/>
          <w:lang w:val="en-US"/>
        </w:rPr>
        <w:t>D-CH</w:t>
      </w:r>
      <w:r w:rsidRPr="00E24A78">
        <w:rPr>
          <w:rFonts w:ascii="Arial" w:hAnsi="Arial" w:cs="Arial"/>
          <w:vertAlign w:val="subscript"/>
          <w:lang w:val="en-US"/>
        </w:rPr>
        <w:t>4</w:t>
      </w:r>
      <w:r w:rsidRPr="00E24A78">
        <w:rPr>
          <w:rFonts w:ascii="Arial" w:hAnsi="Arial" w:cs="Arial"/>
          <w:lang w:val="en-US"/>
        </w:rPr>
        <w:t>) in ambient air was developed</w:t>
      </w:r>
      <w:r w:rsidR="00EC3C73">
        <w:rPr>
          <w:rFonts w:ascii="Arial" w:hAnsi="Arial" w:cs="Arial"/>
          <w:lang w:val="en-US"/>
        </w:rPr>
        <w:t xml:space="preserve"> funded within InGOS JRA4</w:t>
      </w:r>
      <w:r w:rsidR="009631F9">
        <w:rPr>
          <w:rFonts w:ascii="Arial" w:hAnsi="Arial" w:cs="Arial"/>
          <w:lang w:val="en-US"/>
        </w:rPr>
        <w:t xml:space="preserve"> (WP16)</w:t>
      </w:r>
      <w:r w:rsidRPr="00E24A78">
        <w:rPr>
          <w:rFonts w:ascii="Arial" w:hAnsi="Arial" w:cs="Arial"/>
          <w:lang w:val="en-US"/>
        </w:rPr>
        <w:t>. It consists of an innovative preconcentration device, named trace gas extractor (TREX) and a state-of-the-art quantum cascade laser absorption spectrometer (QCLAS). The TREX unit can increase CH</w:t>
      </w:r>
      <w:r w:rsidRPr="00E24A78">
        <w:rPr>
          <w:rFonts w:ascii="Arial" w:hAnsi="Arial" w:cs="Arial"/>
          <w:vertAlign w:val="subscript"/>
          <w:lang w:val="en-US"/>
        </w:rPr>
        <w:t>4</w:t>
      </w:r>
      <w:r w:rsidRPr="00E24A78">
        <w:rPr>
          <w:rFonts w:ascii="Arial" w:hAnsi="Arial" w:cs="Arial"/>
          <w:lang w:val="en-US"/>
        </w:rPr>
        <w:t xml:space="preserve"> mole fractions by a factor of 500 from ambient levels to 1000 ppm (parts-per-million, 10</w:t>
      </w:r>
      <w:r w:rsidRPr="00E24A78">
        <w:rPr>
          <w:rFonts w:ascii="Arial" w:hAnsi="Arial" w:cs="Arial"/>
          <w:vertAlign w:val="superscript"/>
          <w:lang w:val="en-US"/>
        </w:rPr>
        <w:t>-6</w:t>
      </w:r>
      <w:r w:rsidRPr="00E24A78">
        <w:rPr>
          <w:rFonts w:ascii="Arial" w:hAnsi="Arial" w:cs="Arial"/>
          <w:lang w:val="en-US"/>
        </w:rPr>
        <w:t xml:space="preserve"> moles of trace gas per mole of dry air) [1]. Preconcentration of CH</w:t>
      </w:r>
      <w:r w:rsidRPr="00E24A78">
        <w:rPr>
          <w:rFonts w:ascii="Arial" w:hAnsi="Arial" w:cs="Arial"/>
          <w:vertAlign w:val="subscript"/>
          <w:lang w:val="en-US"/>
        </w:rPr>
        <w:t>4</w:t>
      </w:r>
      <w:r w:rsidRPr="00E24A78">
        <w:rPr>
          <w:rFonts w:ascii="Arial" w:hAnsi="Arial" w:cs="Arial"/>
          <w:lang w:val="en-US"/>
        </w:rPr>
        <w:t xml:space="preserve"> was shown to be quantitative without significant fractionation effects. Additionally spectral interfering </w:t>
      </w:r>
      <w:proofErr w:type="gramStart"/>
      <w:r w:rsidRPr="00E24A78">
        <w:rPr>
          <w:rFonts w:ascii="Arial" w:hAnsi="Arial" w:cs="Arial"/>
          <w:lang w:val="en-US"/>
        </w:rPr>
        <w:t>trace</w:t>
      </w:r>
      <w:proofErr w:type="gramEnd"/>
      <w:r w:rsidRPr="00E24A78">
        <w:rPr>
          <w:rFonts w:ascii="Arial" w:hAnsi="Arial" w:cs="Arial"/>
          <w:lang w:val="en-US"/>
        </w:rPr>
        <w:t xml:space="preserve"> gases (N</w:t>
      </w:r>
      <w:r w:rsidRPr="00E24A78">
        <w:rPr>
          <w:rFonts w:ascii="Arial" w:hAnsi="Arial" w:cs="Arial"/>
          <w:vertAlign w:val="subscript"/>
          <w:lang w:val="en-US"/>
        </w:rPr>
        <w:t>2</w:t>
      </w:r>
      <w:r w:rsidRPr="00E24A78">
        <w:rPr>
          <w:rFonts w:ascii="Arial" w:hAnsi="Arial" w:cs="Arial"/>
          <w:lang w:val="en-US"/>
        </w:rPr>
        <w:t>O and CO</w:t>
      </w:r>
      <w:r w:rsidRPr="00E24A78">
        <w:rPr>
          <w:rFonts w:ascii="Arial" w:hAnsi="Arial" w:cs="Arial"/>
          <w:vertAlign w:val="subscript"/>
          <w:lang w:val="en-US"/>
        </w:rPr>
        <w:t>2</w:t>
      </w:r>
      <w:r w:rsidRPr="00E24A78">
        <w:rPr>
          <w:rFonts w:ascii="Arial" w:hAnsi="Arial" w:cs="Arial"/>
          <w:lang w:val="en-US"/>
        </w:rPr>
        <w:t>) are eliminated by temperature-controlled stepwise desorption. The developed preconcentration device (TREX) can also be applied for N</w:t>
      </w:r>
      <w:r w:rsidRPr="00463768">
        <w:rPr>
          <w:rFonts w:ascii="Arial" w:hAnsi="Arial" w:cs="Arial"/>
          <w:vertAlign w:val="subscript"/>
          <w:lang w:val="en-US"/>
        </w:rPr>
        <w:t>2</w:t>
      </w:r>
      <w:r w:rsidRPr="00E24A78">
        <w:rPr>
          <w:rFonts w:ascii="Arial" w:hAnsi="Arial" w:cs="Arial"/>
          <w:lang w:val="en-US"/>
        </w:rPr>
        <w:t>O, VOCs and other trace gases. Preconcentrated CH</w:t>
      </w:r>
      <w:r w:rsidRPr="00463768">
        <w:rPr>
          <w:rFonts w:ascii="Arial" w:hAnsi="Arial" w:cs="Arial"/>
          <w:vertAlign w:val="subscript"/>
          <w:lang w:val="en-US"/>
        </w:rPr>
        <w:t>4</w:t>
      </w:r>
      <w:r w:rsidRPr="00E24A78">
        <w:rPr>
          <w:rFonts w:ascii="Arial" w:hAnsi="Arial" w:cs="Arial"/>
          <w:lang w:val="en-US"/>
        </w:rPr>
        <w:t xml:space="preserve"> is analyzed by state-of-the-art QCLAS consisting of two thermo-electrically cooled (TE) continuous wave (</w:t>
      </w:r>
      <w:proofErr w:type="spellStart"/>
      <w:r w:rsidRPr="00E24A78">
        <w:rPr>
          <w:rFonts w:ascii="Arial" w:hAnsi="Arial" w:cs="Arial"/>
          <w:lang w:val="en-US"/>
        </w:rPr>
        <w:t>cw</w:t>
      </w:r>
      <w:proofErr w:type="spellEnd"/>
      <w:r w:rsidRPr="00E24A78">
        <w:rPr>
          <w:rFonts w:ascii="Arial" w:hAnsi="Arial" w:cs="Arial"/>
          <w:lang w:val="en-US"/>
        </w:rPr>
        <w:t xml:space="preserve">) DFB QCL sources, an astigmatic </w:t>
      </w:r>
      <w:proofErr w:type="spellStart"/>
      <w:r w:rsidRPr="00E24A78">
        <w:rPr>
          <w:rFonts w:ascii="Arial" w:hAnsi="Arial" w:cs="Arial"/>
          <w:lang w:val="en-US"/>
        </w:rPr>
        <w:t>multipass</w:t>
      </w:r>
      <w:proofErr w:type="spellEnd"/>
      <w:r w:rsidRPr="00E24A78">
        <w:rPr>
          <w:rFonts w:ascii="Arial" w:hAnsi="Arial" w:cs="Arial"/>
          <w:lang w:val="en-US"/>
        </w:rPr>
        <w:t xml:space="preserve">-cell and a TE-MCT detector. The QCLAS demonstrates an Allan precision of 0.1 ‰ for </w:t>
      </w:r>
      <w:r w:rsidR="00463768" w:rsidRPr="00463768">
        <w:rPr>
          <w:rFonts w:ascii="Symbol" w:hAnsi="Symbol" w:cs="Arial"/>
          <w:lang w:val="en-US"/>
        </w:rPr>
        <w:t></w:t>
      </w:r>
      <w:r w:rsidRPr="00E24A78">
        <w:rPr>
          <w:rFonts w:ascii="Arial" w:hAnsi="Arial" w:cs="Arial"/>
          <w:vertAlign w:val="superscript"/>
          <w:lang w:val="en-US"/>
        </w:rPr>
        <w:t>13</w:t>
      </w:r>
      <w:r w:rsidRPr="00E24A78">
        <w:rPr>
          <w:rFonts w:ascii="Arial" w:hAnsi="Arial" w:cs="Arial"/>
          <w:lang w:val="en-US"/>
        </w:rPr>
        <w:t>C-CH</w:t>
      </w:r>
      <w:r w:rsidRPr="00E24A78">
        <w:rPr>
          <w:rFonts w:ascii="Arial" w:hAnsi="Arial" w:cs="Arial"/>
          <w:vertAlign w:val="subscript"/>
          <w:lang w:val="en-US"/>
        </w:rPr>
        <w:t>4</w:t>
      </w:r>
      <w:r w:rsidRPr="00E24A78">
        <w:rPr>
          <w:rFonts w:ascii="Arial" w:hAnsi="Arial" w:cs="Arial"/>
          <w:lang w:val="en-US"/>
        </w:rPr>
        <w:t xml:space="preserve"> and </w:t>
      </w:r>
      <w:r w:rsidR="009631F9">
        <w:rPr>
          <w:rFonts w:ascii="Arial" w:hAnsi="Arial" w:cs="Arial"/>
          <w:lang w:val="en-US"/>
        </w:rPr>
        <w:t>&lt;</w:t>
      </w:r>
      <w:r w:rsidRPr="00E24A78">
        <w:rPr>
          <w:rFonts w:ascii="Arial" w:hAnsi="Arial" w:cs="Arial"/>
          <w:lang w:val="en-US"/>
        </w:rPr>
        <w:t>0.</w:t>
      </w:r>
      <w:r w:rsidR="009631F9">
        <w:rPr>
          <w:rFonts w:ascii="Arial" w:hAnsi="Arial" w:cs="Arial"/>
          <w:lang w:val="en-US"/>
        </w:rPr>
        <w:t xml:space="preserve">5 </w:t>
      </w:r>
      <w:r w:rsidRPr="00E24A78">
        <w:rPr>
          <w:rFonts w:ascii="Arial" w:hAnsi="Arial" w:cs="Arial"/>
          <w:lang w:val="en-US"/>
        </w:rPr>
        <w:t xml:space="preserve">‰ for </w:t>
      </w:r>
      <w:r w:rsidR="00463768" w:rsidRPr="00463768">
        <w:rPr>
          <w:rFonts w:ascii="Symbol" w:hAnsi="Symbol" w:cs="Arial"/>
          <w:lang w:val="en-US"/>
        </w:rPr>
        <w:t></w:t>
      </w:r>
      <w:r w:rsidRPr="00E24A78">
        <w:rPr>
          <w:rFonts w:ascii="Arial" w:hAnsi="Arial" w:cs="Arial"/>
          <w:lang w:val="en-US"/>
        </w:rPr>
        <w:t>D-CH</w:t>
      </w:r>
      <w:r w:rsidRPr="00E24A78">
        <w:rPr>
          <w:rFonts w:ascii="Arial" w:hAnsi="Arial" w:cs="Arial"/>
          <w:vertAlign w:val="subscript"/>
          <w:lang w:val="en-US"/>
        </w:rPr>
        <w:t>4</w:t>
      </w:r>
      <w:r w:rsidRPr="00E24A78">
        <w:rPr>
          <w:rFonts w:ascii="Arial" w:hAnsi="Arial" w:cs="Arial"/>
          <w:lang w:val="en-US"/>
        </w:rPr>
        <w:t xml:space="preserve"> with </w:t>
      </w:r>
      <w:r w:rsidR="009631F9">
        <w:rPr>
          <w:rFonts w:ascii="Arial" w:hAnsi="Arial" w:cs="Arial"/>
          <w:lang w:val="en-US"/>
        </w:rPr>
        <w:t>6</w:t>
      </w:r>
      <w:r w:rsidRPr="00E24A78">
        <w:rPr>
          <w:rFonts w:ascii="Arial" w:hAnsi="Arial" w:cs="Arial"/>
          <w:lang w:val="en-US"/>
        </w:rPr>
        <w:t>00 s spectral averaging. For repeated measurements of preconcentrated pressurized air a reproducibility of 0.1</w:t>
      </w:r>
      <w:r w:rsidR="009631F9">
        <w:rPr>
          <w:rFonts w:ascii="Arial" w:hAnsi="Arial" w:cs="Arial"/>
          <w:lang w:val="en-US"/>
        </w:rPr>
        <w:t xml:space="preserve">9 </w:t>
      </w:r>
      <w:r w:rsidRPr="00E24A78">
        <w:rPr>
          <w:rFonts w:ascii="Arial" w:hAnsi="Arial" w:cs="Arial"/>
          <w:lang w:val="en-US"/>
        </w:rPr>
        <w:t>‰ and 1.</w:t>
      </w:r>
      <w:r w:rsidR="009631F9">
        <w:rPr>
          <w:rFonts w:ascii="Arial" w:hAnsi="Arial" w:cs="Arial"/>
          <w:lang w:val="en-US"/>
        </w:rPr>
        <w:t xml:space="preserve">7 </w:t>
      </w:r>
      <w:r w:rsidRPr="00E24A78">
        <w:rPr>
          <w:rFonts w:ascii="Arial" w:hAnsi="Arial" w:cs="Arial"/>
          <w:lang w:val="en-US"/>
        </w:rPr>
        <w:t xml:space="preserve">‰ for </w:t>
      </w:r>
      <w:r w:rsidR="00463768" w:rsidRPr="00463768">
        <w:rPr>
          <w:rFonts w:ascii="Symbol" w:hAnsi="Symbol" w:cs="Arial"/>
          <w:lang w:val="en-US"/>
        </w:rPr>
        <w:t></w:t>
      </w:r>
      <w:r w:rsidRPr="00E24A78">
        <w:rPr>
          <w:rFonts w:ascii="Arial" w:hAnsi="Arial" w:cs="Arial"/>
          <w:vertAlign w:val="superscript"/>
          <w:lang w:val="en-US"/>
        </w:rPr>
        <w:t>13</w:t>
      </w:r>
      <w:r w:rsidRPr="00E24A78">
        <w:rPr>
          <w:rFonts w:ascii="Arial" w:hAnsi="Arial" w:cs="Arial"/>
          <w:lang w:val="en-US"/>
        </w:rPr>
        <w:t xml:space="preserve">C and </w:t>
      </w:r>
      <w:r w:rsidR="00463768" w:rsidRPr="00463768">
        <w:rPr>
          <w:rFonts w:ascii="Symbol" w:hAnsi="Symbol" w:cs="Arial"/>
          <w:lang w:val="en-US"/>
        </w:rPr>
        <w:t></w:t>
      </w:r>
      <w:r w:rsidRPr="00E24A78">
        <w:rPr>
          <w:rFonts w:ascii="Arial" w:hAnsi="Arial" w:cs="Arial"/>
          <w:lang w:val="en-US"/>
        </w:rPr>
        <w:t>D-CH</w:t>
      </w:r>
      <w:r w:rsidRPr="00E24A78">
        <w:rPr>
          <w:rFonts w:ascii="Arial" w:hAnsi="Arial" w:cs="Arial"/>
          <w:vertAlign w:val="subscript"/>
          <w:lang w:val="en-US"/>
        </w:rPr>
        <w:t>4</w:t>
      </w:r>
      <w:r w:rsidRPr="00E24A78">
        <w:rPr>
          <w:rFonts w:ascii="Arial" w:hAnsi="Arial" w:cs="Arial"/>
          <w:lang w:val="en-US"/>
        </w:rPr>
        <w:t xml:space="preserve"> was achieved.</w:t>
      </w:r>
    </w:p>
    <w:p w:rsidR="009631F9" w:rsidRDefault="009631F9" w:rsidP="009631F9">
      <w:pPr>
        <w:spacing w:line="276" w:lineRule="auto"/>
        <w:jc w:val="left"/>
        <w:rPr>
          <w:rFonts w:ascii="Arial" w:hAnsi="Arial" w:cs="Arial"/>
          <w:lang w:val="en-US"/>
        </w:rPr>
      </w:pPr>
      <w:r>
        <w:rPr>
          <w:rFonts w:ascii="Arial" w:hAnsi="Arial" w:cs="Arial"/>
          <w:lang w:val="en-US"/>
        </w:rPr>
        <w:lastRenderedPageBreak/>
        <w:t xml:space="preserve">In June 2014 a field campaign was organized by Empa to </w:t>
      </w:r>
      <w:r w:rsidR="00A814DD">
        <w:rPr>
          <w:rFonts w:ascii="Arial" w:hAnsi="Arial" w:cs="Arial"/>
          <w:lang w:val="en-US"/>
        </w:rPr>
        <w:t>assess the compatibility of</w:t>
      </w:r>
      <w:r>
        <w:rPr>
          <w:rFonts w:ascii="Arial" w:hAnsi="Arial" w:cs="Arial"/>
          <w:lang w:val="en-US"/>
        </w:rPr>
        <w:t xml:space="preserve"> real-time measurements </w:t>
      </w:r>
      <w:r w:rsidR="00CD27DB">
        <w:rPr>
          <w:rFonts w:ascii="Arial" w:hAnsi="Arial" w:cs="Arial"/>
          <w:lang w:val="en-US"/>
        </w:rPr>
        <w:t>for</w:t>
      </w:r>
      <w:r>
        <w:rPr>
          <w:rFonts w:ascii="Arial" w:hAnsi="Arial" w:cs="Arial"/>
          <w:lang w:val="en-US"/>
        </w:rPr>
        <w:t xml:space="preserve"> </w:t>
      </w:r>
      <w:r w:rsidRPr="006165B7">
        <w:rPr>
          <w:rFonts w:ascii="Symbol" w:hAnsi="Symbol" w:cs="Arial"/>
          <w:lang w:val="en-US"/>
        </w:rPr>
        <w:t></w:t>
      </w:r>
      <w:r w:rsidRPr="006165B7">
        <w:rPr>
          <w:rFonts w:ascii="Arial" w:hAnsi="Arial" w:cs="Arial"/>
          <w:vertAlign w:val="superscript"/>
          <w:lang w:val="en-US"/>
        </w:rPr>
        <w:t>13</w:t>
      </w:r>
      <w:r w:rsidRPr="00EC5DFF">
        <w:rPr>
          <w:rFonts w:ascii="Arial" w:hAnsi="Arial" w:cs="Arial"/>
          <w:lang w:val="en-US"/>
        </w:rPr>
        <w:t>C-CH</w:t>
      </w:r>
      <w:r w:rsidRPr="006165B7">
        <w:rPr>
          <w:rFonts w:ascii="Arial" w:hAnsi="Arial" w:cs="Arial"/>
          <w:vertAlign w:val="subscript"/>
          <w:lang w:val="en-US"/>
        </w:rPr>
        <w:t>4</w:t>
      </w:r>
      <w:r>
        <w:rPr>
          <w:rFonts w:ascii="Arial" w:hAnsi="Arial" w:cs="Arial"/>
          <w:lang w:val="en-US"/>
        </w:rPr>
        <w:t xml:space="preserve">, </w:t>
      </w:r>
      <w:r w:rsidRPr="001B4DC7">
        <w:rPr>
          <w:rFonts w:ascii="Symbol" w:hAnsi="Symbol" w:cs="Arial"/>
          <w:lang w:val="en-US"/>
        </w:rPr>
        <w:t></w:t>
      </w:r>
      <w:r>
        <w:rPr>
          <w:rFonts w:ascii="Arial" w:hAnsi="Arial" w:cs="Arial"/>
          <w:lang w:val="en-US"/>
        </w:rPr>
        <w:t>D-CH</w:t>
      </w:r>
      <w:r w:rsidRPr="001B4DC7">
        <w:rPr>
          <w:rFonts w:ascii="Arial" w:hAnsi="Arial" w:cs="Arial"/>
          <w:vertAlign w:val="subscript"/>
          <w:lang w:val="en-US"/>
        </w:rPr>
        <w:t>4</w:t>
      </w:r>
      <w:r>
        <w:rPr>
          <w:rFonts w:ascii="Arial" w:hAnsi="Arial" w:cs="Arial"/>
          <w:lang w:val="en-US"/>
        </w:rPr>
        <w:t xml:space="preserve"> </w:t>
      </w:r>
      <w:r w:rsidRPr="00EC5DFF">
        <w:rPr>
          <w:rFonts w:ascii="Arial" w:hAnsi="Arial" w:cs="Arial"/>
          <w:lang w:val="en-US"/>
        </w:rPr>
        <w:t>and</w:t>
      </w:r>
      <w:r>
        <w:rPr>
          <w:rFonts w:ascii="Arial" w:hAnsi="Arial" w:cs="Arial"/>
          <w:lang w:val="en-US"/>
        </w:rPr>
        <w:t xml:space="preserve"> CH</w:t>
      </w:r>
      <w:r w:rsidRPr="00E57758">
        <w:rPr>
          <w:rFonts w:ascii="Arial" w:hAnsi="Arial" w:cs="Arial"/>
          <w:vertAlign w:val="subscript"/>
          <w:lang w:val="en-US"/>
        </w:rPr>
        <w:t>4</w:t>
      </w:r>
      <w:r>
        <w:rPr>
          <w:rFonts w:ascii="Arial" w:hAnsi="Arial" w:cs="Arial"/>
          <w:lang w:val="en-US"/>
        </w:rPr>
        <w:t xml:space="preserve"> mixing ratio by </w:t>
      </w:r>
      <w:r w:rsidR="008A1A01">
        <w:rPr>
          <w:rFonts w:ascii="Arial" w:hAnsi="Arial" w:cs="Arial"/>
          <w:lang w:val="en-US"/>
        </w:rPr>
        <w:t>different laser spectrometers</w:t>
      </w:r>
      <w:r w:rsidR="00A814DD">
        <w:rPr>
          <w:rFonts w:ascii="Arial" w:hAnsi="Arial" w:cs="Arial"/>
          <w:lang w:val="en-US"/>
        </w:rPr>
        <w:t xml:space="preserve"> and validate the m</w:t>
      </w:r>
      <w:r>
        <w:rPr>
          <w:rFonts w:ascii="Arial" w:hAnsi="Arial" w:cs="Arial"/>
          <w:lang w:val="en-US"/>
        </w:rPr>
        <w:t xml:space="preserve">easurements by </w:t>
      </w:r>
      <w:r w:rsidR="00A814DD">
        <w:rPr>
          <w:rFonts w:ascii="Arial" w:hAnsi="Arial" w:cs="Arial"/>
          <w:lang w:val="en-US"/>
        </w:rPr>
        <w:t>off-line I</w:t>
      </w:r>
      <w:r>
        <w:rPr>
          <w:rFonts w:ascii="Arial" w:hAnsi="Arial" w:cs="Arial"/>
          <w:lang w:val="en-US"/>
        </w:rPr>
        <w:t xml:space="preserve">RMS on </w:t>
      </w:r>
      <w:r w:rsidR="00A814DD">
        <w:rPr>
          <w:rFonts w:ascii="Arial" w:hAnsi="Arial" w:cs="Arial"/>
          <w:lang w:val="en-US"/>
        </w:rPr>
        <w:t>air</w:t>
      </w:r>
      <w:r>
        <w:rPr>
          <w:rFonts w:ascii="Arial" w:hAnsi="Arial" w:cs="Arial"/>
          <w:lang w:val="en-US"/>
        </w:rPr>
        <w:t xml:space="preserve"> samples collected during the campaign. </w:t>
      </w:r>
      <w:r w:rsidR="00A814DD">
        <w:rPr>
          <w:rFonts w:ascii="Arial" w:hAnsi="Arial" w:cs="Arial"/>
          <w:lang w:val="en-US"/>
        </w:rPr>
        <w:t>Additionally, the precision and stability of field instruments and the added value of high-frequency measurements compared to traditional flask measurements was evaluated.</w:t>
      </w:r>
    </w:p>
    <w:p w:rsidR="009631F9" w:rsidRDefault="009631F9" w:rsidP="009631F9">
      <w:pPr>
        <w:spacing w:line="276" w:lineRule="auto"/>
        <w:jc w:val="left"/>
        <w:rPr>
          <w:rFonts w:ascii="Arial" w:hAnsi="Arial" w:cs="Arial"/>
          <w:lang w:val="en-US"/>
        </w:rPr>
      </w:pPr>
    </w:p>
    <w:p w:rsidR="009631F9" w:rsidRDefault="009631F9" w:rsidP="009631F9">
      <w:pPr>
        <w:spacing w:line="276" w:lineRule="auto"/>
        <w:jc w:val="left"/>
        <w:rPr>
          <w:rFonts w:ascii="Arial" w:hAnsi="Arial" w:cs="Arial"/>
          <w:lang w:val="en-US"/>
        </w:rPr>
      </w:pPr>
      <w:r>
        <w:rPr>
          <w:rFonts w:ascii="Arial" w:hAnsi="Arial" w:cs="Arial"/>
          <w:lang w:val="en-US"/>
        </w:rPr>
        <w:t xml:space="preserve">The TNA 5 activities funded within application 745 include IRMS analysis of </w:t>
      </w:r>
      <w:r w:rsidR="004D62B1">
        <w:rPr>
          <w:rFonts w:ascii="Arial" w:hAnsi="Arial" w:cs="Arial"/>
          <w:lang w:val="en-US"/>
        </w:rPr>
        <w:t>48</w:t>
      </w:r>
      <w:r>
        <w:rPr>
          <w:rFonts w:ascii="Arial" w:hAnsi="Arial" w:cs="Arial"/>
          <w:lang w:val="en-US"/>
        </w:rPr>
        <w:t xml:space="preserve"> bag samples for </w:t>
      </w:r>
      <w:r w:rsidRPr="00B874DA">
        <w:rPr>
          <w:rFonts w:ascii="Symbol" w:hAnsi="Symbol" w:cs="Arial"/>
          <w:lang w:val="en-US"/>
        </w:rPr>
        <w:t></w:t>
      </w:r>
      <w:r w:rsidRPr="00B874DA">
        <w:rPr>
          <w:rFonts w:ascii="Arial" w:hAnsi="Arial" w:cs="Arial"/>
          <w:vertAlign w:val="superscript"/>
          <w:lang w:val="en-US"/>
        </w:rPr>
        <w:t>13</w:t>
      </w:r>
      <w:r>
        <w:rPr>
          <w:rFonts w:ascii="Arial" w:hAnsi="Arial" w:cs="Arial"/>
          <w:lang w:val="en-US"/>
        </w:rPr>
        <w:t>C-CH</w:t>
      </w:r>
      <w:r w:rsidRPr="00B874DA">
        <w:rPr>
          <w:rFonts w:ascii="Arial" w:hAnsi="Arial" w:cs="Arial"/>
          <w:vertAlign w:val="subscript"/>
          <w:lang w:val="en-US"/>
        </w:rPr>
        <w:t>4</w:t>
      </w:r>
      <w:r>
        <w:rPr>
          <w:rFonts w:ascii="Arial" w:hAnsi="Arial" w:cs="Arial"/>
          <w:lang w:val="en-US"/>
        </w:rPr>
        <w:t xml:space="preserve"> and CH</w:t>
      </w:r>
      <w:r w:rsidRPr="00B874DA">
        <w:rPr>
          <w:rFonts w:ascii="Arial" w:hAnsi="Arial" w:cs="Arial"/>
          <w:vertAlign w:val="subscript"/>
          <w:lang w:val="en-US"/>
        </w:rPr>
        <w:t>4</w:t>
      </w:r>
      <w:r>
        <w:rPr>
          <w:rFonts w:ascii="Arial" w:hAnsi="Arial" w:cs="Arial"/>
          <w:lang w:val="en-US"/>
        </w:rPr>
        <w:t xml:space="preserve"> mixing ratios</w:t>
      </w:r>
      <w:r w:rsidR="004D62B1">
        <w:rPr>
          <w:rFonts w:ascii="Arial" w:hAnsi="Arial" w:cs="Arial"/>
          <w:lang w:val="en-US"/>
        </w:rPr>
        <w:t xml:space="preserve"> </w:t>
      </w:r>
      <w:r w:rsidR="004D62B1">
        <w:rPr>
          <w:rFonts w:ascii="Arial" w:hAnsi="Arial" w:cs="Arial"/>
          <w:lang w:val="en-US"/>
        </w:rPr>
        <w:t>at RHUL</w:t>
      </w:r>
      <w:r w:rsidR="004D62B1">
        <w:rPr>
          <w:rFonts w:ascii="Arial" w:hAnsi="Arial" w:cs="Arial"/>
          <w:lang w:val="en-US"/>
        </w:rPr>
        <w:t xml:space="preserve"> of 50 bags filled at Empa</w:t>
      </w:r>
      <w:r>
        <w:rPr>
          <w:rFonts w:ascii="Arial" w:hAnsi="Arial" w:cs="Arial"/>
          <w:lang w:val="en-US"/>
        </w:rPr>
        <w:t>.</w:t>
      </w:r>
    </w:p>
    <w:p w:rsidR="004D62B1" w:rsidRPr="00EC3C73" w:rsidRDefault="004D62B1" w:rsidP="00EC3C73">
      <w:pPr>
        <w:spacing w:line="276" w:lineRule="auto"/>
        <w:jc w:val="left"/>
        <w:rPr>
          <w:rFonts w:ascii="Arial" w:hAnsi="Arial" w:cs="Arial"/>
          <w:lang w:val="en-US"/>
        </w:rPr>
      </w:pPr>
      <w:bookmarkStart w:id="0" w:name="_GoBack"/>
      <w:bookmarkEnd w:id="0"/>
    </w:p>
    <w:p w:rsidR="00EA53E6" w:rsidRDefault="00EA53E6" w:rsidP="002C586A">
      <w:pPr>
        <w:pStyle w:val="Listenabsatz"/>
        <w:numPr>
          <w:ilvl w:val="0"/>
          <w:numId w:val="1"/>
        </w:numPr>
        <w:spacing w:line="276" w:lineRule="auto"/>
        <w:jc w:val="left"/>
        <w:rPr>
          <w:rFonts w:ascii="Arial" w:hAnsi="Arial" w:cs="Arial"/>
          <w:lang w:val="en-US"/>
        </w:rPr>
      </w:pPr>
      <w:r w:rsidRPr="00F82527">
        <w:rPr>
          <w:rFonts w:ascii="Arial" w:hAnsi="Arial" w:cs="Arial"/>
          <w:lang w:val="en-US"/>
        </w:rPr>
        <w:t>Method and experimental set-up</w:t>
      </w:r>
    </w:p>
    <w:p w:rsidR="00B874DA" w:rsidRPr="00B874DA" w:rsidRDefault="00B874DA" w:rsidP="00B874DA">
      <w:pPr>
        <w:pStyle w:val="Listenabsatz"/>
        <w:rPr>
          <w:rFonts w:ascii="Arial" w:hAnsi="Arial" w:cs="Arial"/>
          <w:lang w:val="en-US"/>
        </w:rPr>
      </w:pPr>
    </w:p>
    <w:p w:rsidR="00E77E5E" w:rsidRDefault="002B25A7" w:rsidP="00E77E5E">
      <w:pPr>
        <w:spacing w:line="276" w:lineRule="auto"/>
        <w:jc w:val="left"/>
        <w:rPr>
          <w:rFonts w:ascii="Arial" w:hAnsi="Arial" w:cs="Arial"/>
          <w:lang w:val="en-US"/>
        </w:rPr>
      </w:pPr>
      <w:r w:rsidRPr="002B25A7">
        <w:rPr>
          <w:rFonts w:ascii="Arial" w:hAnsi="Arial" w:cs="Arial"/>
          <w:lang w:val="en-US"/>
        </w:rPr>
        <w:t>The field campaign was conducted from June 6</w:t>
      </w:r>
      <w:r w:rsidRPr="004C0A40">
        <w:rPr>
          <w:rFonts w:ascii="Arial" w:hAnsi="Arial" w:cs="Arial"/>
          <w:vertAlign w:val="superscript"/>
          <w:lang w:val="en-US"/>
        </w:rPr>
        <w:t>th</w:t>
      </w:r>
      <w:r w:rsidRPr="002B25A7">
        <w:rPr>
          <w:rFonts w:ascii="Arial" w:hAnsi="Arial" w:cs="Arial"/>
          <w:lang w:val="en-US"/>
        </w:rPr>
        <w:t xml:space="preserve"> to June 22</w:t>
      </w:r>
      <w:r w:rsidRPr="004C0A40">
        <w:rPr>
          <w:rFonts w:ascii="Arial" w:hAnsi="Arial" w:cs="Arial"/>
          <w:vertAlign w:val="superscript"/>
          <w:lang w:val="en-US"/>
        </w:rPr>
        <w:t>nd</w:t>
      </w:r>
      <w:r w:rsidRPr="002B25A7">
        <w:rPr>
          <w:rFonts w:ascii="Arial" w:hAnsi="Arial" w:cs="Arial"/>
          <w:lang w:val="en-US"/>
        </w:rPr>
        <w:t xml:space="preserve"> 2014 in the densely populated area of Dübendorf, Switzerland (47°24′11″ N / 8°36′48″ E, elevation 432 m above sea level). A main road passes 100 m south and a highway around 750 m north of the sampling site. Air was continuously sampled from the rooftop of a five-story building at a flow rate of about 25 standard liters per minute (</w:t>
      </w:r>
      <w:proofErr w:type="spellStart"/>
      <w:r w:rsidRPr="002B25A7">
        <w:rPr>
          <w:rFonts w:ascii="Arial" w:hAnsi="Arial" w:cs="Arial"/>
          <w:lang w:val="en-US"/>
        </w:rPr>
        <w:t>slpm</w:t>
      </w:r>
      <w:proofErr w:type="spellEnd"/>
      <w:r w:rsidRPr="002B25A7">
        <w:rPr>
          <w:rFonts w:ascii="Arial" w:hAnsi="Arial" w:cs="Arial"/>
          <w:lang w:val="en-US"/>
        </w:rPr>
        <w:t>) through a 25 m long unheated polyethylene-coated aluminum tubing (ID 9 mm) using a piston pump (Gardner Denver Thomas GmbH). Upstream of the sampling pump the measuring gas was split for the different analyzers (see Figure 1).</w:t>
      </w:r>
    </w:p>
    <w:p w:rsidR="00E77E5E" w:rsidRDefault="007218FA" w:rsidP="00E77E5E">
      <w:pPr>
        <w:spacing w:line="276" w:lineRule="auto"/>
        <w:jc w:val="left"/>
        <w:rPr>
          <w:rFonts w:ascii="Arial" w:hAnsi="Arial" w:cs="Arial"/>
          <w:lang w:val="en-US"/>
        </w:rPr>
      </w:pPr>
      <w:r w:rsidRPr="007218FA">
        <w:rPr>
          <w:noProof/>
          <w:lang w:val="de-CH" w:eastAsia="de-CH"/>
        </w:rPr>
        <w:drawing>
          <wp:inline distT="0" distB="0" distL="0" distR="0" wp14:anchorId="1F17A913" wp14:editId="69BE13B1">
            <wp:extent cx="4888800" cy="3679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8800" cy="3679200"/>
                    </a:xfrm>
                    <a:prstGeom prst="rect">
                      <a:avLst/>
                    </a:prstGeom>
                    <a:noFill/>
                    <a:ln>
                      <a:noFill/>
                    </a:ln>
                  </pic:spPr>
                </pic:pic>
              </a:graphicData>
            </a:graphic>
          </wp:inline>
        </w:drawing>
      </w:r>
    </w:p>
    <w:p w:rsidR="007218FA" w:rsidRDefault="007218FA" w:rsidP="00E77E5E">
      <w:pPr>
        <w:spacing w:line="276" w:lineRule="auto"/>
        <w:jc w:val="left"/>
        <w:rPr>
          <w:rFonts w:ascii="Arial" w:hAnsi="Arial" w:cs="Arial"/>
          <w:lang w:val="en-US"/>
        </w:rPr>
      </w:pPr>
    </w:p>
    <w:p w:rsidR="007218FA" w:rsidRDefault="007218FA" w:rsidP="00E77E5E">
      <w:pPr>
        <w:spacing w:line="276" w:lineRule="auto"/>
        <w:jc w:val="left"/>
        <w:rPr>
          <w:rFonts w:ascii="Arial" w:hAnsi="Arial" w:cs="Arial"/>
          <w:lang w:val="en-US"/>
        </w:rPr>
      </w:pPr>
      <w:r>
        <w:rPr>
          <w:rFonts w:ascii="Arial" w:hAnsi="Arial" w:cs="Arial"/>
          <w:lang w:val="en-US"/>
        </w:rPr>
        <w:t xml:space="preserve">Figure 1: Experimental setup during the field campaign in June 2014 in Dübendorf. </w:t>
      </w:r>
    </w:p>
    <w:p w:rsidR="007218FA" w:rsidRDefault="007218FA" w:rsidP="00E77E5E">
      <w:pPr>
        <w:spacing w:line="276" w:lineRule="auto"/>
        <w:jc w:val="left"/>
        <w:rPr>
          <w:rFonts w:ascii="Arial" w:hAnsi="Arial" w:cs="Arial"/>
          <w:lang w:val="en-US"/>
        </w:rPr>
      </w:pPr>
    </w:p>
    <w:p w:rsidR="002B25A7" w:rsidRPr="002B25A7" w:rsidRDefault="002B25A7" w:rsidP="002B25A7">
      <w:pPr>
        <w:spacing w:line="276" w:lineRule="auto"/>
        <w:jc w:val="left"/>
        <w:rPr>
          <w:rFonts w:ascii="Arial" w:hAnsi="Arial" w:cs="Arial"/>
          <w:lang w:val="en-US"/>
        </w:rPr>
      </w:pPr>
      <w:r w:rsidRPr="002B25A7">
        <w:rPr>
          <w:rFonts w:ascii="Arial" w:hAnsi="Arial" w:cs="Arial"/>
          <w:lang w:val="en-US"/>
        </w:rPr>
        <w:t>The following laser spectroscopic techniques were deployed: combined preconcentration (TREX) [1] + QCLAS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C-CH</w:t>
      </w:r>
      <w:r w:rsidRPr="002B25A7">
        <w:rPr>
          <w:rFonts w:ascii="Arial" w:hAnsi="Arial" w:cs="Arial"/>
          <w:vertAlign w:val="subscript"/>
          <w:lang w:val="en-US"/>
        </w:rPr>
        <w:t>4</w:t>
      </w:r>
      <w:r w:rsidRPr="002B25A7">
        <w:rPr>
          <w:rFonts w:ascii="Arial" w:hAnsi="Arial" w:cs="Arial"/>
          <w:lang w:val="en-US"/>
        </w:rPr>
        <w:t xml:space="preserve">, </w:t>
      </w:r>
      <w:r w:rsidRPr="002B25A7">
        <w:rPr>
          <w:rFonts w:ascii="Symbol" w:hAnsi="Symbol" w:cs="Arial"/>
          <w:lang w:val="en-US"/>
        </w:rPr>
        <w:t></w:t>
      </w:r>
      <w:r w:rsidRPr="002B25A7">
        <w:rPr>
          <w:rFonts w:ascii="Arial" w:hAnsi="Arial" w:cs="Arial"/>
          <w:lang w:val="en-US"/>
        </w:rPr>
        <w:t>D-CH</w:t>
      </w:r>
      <w:r w:rsidRPr="002B25A7">
        <w:rPr>
          <w:rFonts w:ascii="Arial" w:hAnsi="Arial" w:cs="Arial"/>
          <w:vertAlign w:val="subscript"/>
          <w:lang w:val="en-US"/>
        </w:rPr>
        <w:t>4</w:t>
      </w:r>
      <w:r w:rsidRPr="002B25A7">
        <w:rPr>
          <w:rFonts w:ascii="Arial" w:hAnsi="Arial" w:cs="Arial"/>
          <w:lang w:val="en-US"/>
        </w:rPr>
        <w:t xml:space="preserve"> and CH</w:t>
      </w:r>
      <w:r w:rsidRPr="002B25A7">
        <w:rPr>
          <w:rFonts w:ascii="Arial" w:hAnsi="Arial" w:cs="Arial"/>
          <w:vertAlign w:val="subscript"/>
          <w:lang w:val="en-US"/>
        </w:rPr>
        <w:t>4</w:t>
      </w:r>
      <w:r w:rsidRPr="002B25A7">
        <w:rPr>
          <w:rFonts w:ascii="Arial" w:hAnsi="Arial" w:cs="Arial"/>
          <w:lang w:val="en-US"/>
        </w:rPr>
        <w:t xml:space="preserve"> mixing ratio, Empa), off-axis integrated cavity output spectroscopy (OA-ICOS,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C-CH</w:t>
      </w:r>
      <w:r w:rsidRPr="002B25A7">
        <w:rPr>
          <w:rFonts w:ascii="Arial" w:hAnsi="Arial" w:cs="Arial"/>
          <w:vertAlign w:val="subscript"/>
          <w:lang w:val="en-US"/>
        </w:rPr>
        <w:t>4</w:t>
      </w:r>
      <w:r w:rsidRPr="002B25A7">
        <w:rPr>
          <w:rFonts w:ascii="Arial" w:hAnsi="Arial" w:cs="Arial"/>
          <w:lang w:val="en-US"/>
        </w:rPr>
        <w:t xml:space="preserve"> and CH</w:t>
      </w:r>
      <w:r w:rsidRPr="002B25A7">
        <w:rPr>
          <w:rFonts w:ascii="Arial" w:hAnsi="Arial" w:cs="Arial"/>
          <w:vertAlign w:val="subscript"/>
          <w:lang w:val="en-US"/>
        </w:rPr>
        <w:t>4</w:t>
      </w:r>
      <w:r w:rsidRPr="002B25A7">
        <w:rPr>
          <w:rFonts w:ascii="Arial" w:hAnsi="Arial" w:cs="Arial"/>
          <w:lang w:val="en-US"/>
        </w:rPr>
        <w:t xml:space="preserve"> mixing ratio, Model MCIA-24e-EP, Los Gatos Research, Utrecht University) and cavity ring-down spectroscopy (CRDS,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C-CH</w:t>
      </w:r>
      <w:r w:rsidRPr="002B25A7">
        <w:rPr>
          <w:rFonts w:ascii="Arial" w:hAnsi="Arial" w:cs="Arial"/>
          <w:vertAlign w:val="subscript"/>
          <w:lang w:val="en-US"/>
        </w:rPr>
        <w:t>4</w:t>
      </w:r>
      <w:r w:rsidRPr="002B25A7">
        <w:rPr>
          <w:rFonts w:ascii="Arial" w:hAnsi="Arial" w:cs="Arial"/>
          <w:lang w:val="en-US"/>
        </w:rPr>
        <w:t xml:space="preserve">,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C-CO</w:t>
      </w:r>
      <w:r w:rsidRPr="002B25A7">
        <w:rPr>
          <w:rFonts w:ascii="Arial" w:hAnsi="Arial" w:cs="Arial"/>
          <w:vertAlign w:val="subscript"/>
          <w:lang w:val="en-US"/>
        </w:rPr>
        <w:t>2</w:t>
      </w:r>
      <w:r w:rsidRPr="002B25A7">
        <w:rPr>
          <w:rFonts w:ascii="Arial" w:hAnsi="Arial" w:cs="Arial"/>
          <w:lang w:val="en-US"/>
        </w:rPr>
        <w:t>, CH</w:t>
      </w:r>
      <w:r w:rsidRPr="002B25A7">
        <w:rPr>
          <w:rFonts w:ascii="Arial" w:hAnsi="Arial" w:cs="Arial"/>
          <w:vertAlign w:val="subscript"/>
          <w:lang w:val="en-US"/>
        </w:rPr>
        <w:t>4</w:t>
      </w:r>
      <w:r w:rsidRPr="002B25A7">
        <w:rPr>
          <w:rFonts w:ascii="Arial" w:hAnsi="Arial" w:cs="Arial"/>
          <w:lang w:val="en-US"/>
        </w:rPr>
        <w:t xml:space="preserve"> and CO</w:t>
      </w:r>
      <w:r w:rsidRPr="002B25A7">
        <w:rPr>
          <w:rFonts w:ascii="Arial" w:hAnsi="Arial" w:cs="Arial"/>
          <w:vertAlign w:val="subscript"/>
          <w:lang w:val="en-US"/>
        </w:rPr>
        <w:t>2</w:t>
      </w:r>
      <w:r w:rsidRPr="002B25A7">
        <w:rPr>
          <w:rFonts w:ascii="Arial" w:hAnsi="Arial" w:cs="Arial"/>
          <w:lang w:val="en-US"/>
        </w:rPr>
        <w:t xml:space="preserve"> mixing ratio, Model G2201-I, </w:t>
      </w:r>
      <w:proofErr w:type="spellStart"/>
      <w:r w:rsidRPr="002B25A7">
        <w:rPr>
          <w:rFonts w:ascii="Arial" w:hAnsi="Arial" w:cs="Arial"/>
          <w:lang w:val="en-US"/>
        </w:rPr>
        <w:t>Picarro</w:t>
      </w:r>
      <w:proofErr w:type="spellEnd"/>
      <w:r w:rsidRPr="002B25A7">
        <w:rPr>
          <w:rFonts w:ascii="Arial" w:hAnsi="Arial" w:cs="Arial"/>
          <w:lang w:val="en-US"/>
        </w:rPr>
        <w:t xml:space="preserve"> Inc., Eawag; CH</w:t>
      </w:r>
      <w:r w:rsidRPr="002B25A7">
        <w:rPr>
          <w:rFonts w:ascii="Arial" w:hAnsi="Arial" w:cs="Arial"/>
          <w:vertAlign w:val="subscript"/>
          <w:lang w:val="en-US"/>
        </w:rPr>
        <w:t>4</w:t>
      </w:r>
      <w:r w:rsidRPr="002B25A7">
        <w:rPr>
          <w:rFonts w:ascii="Arial" w:hAnsi="Arial" w:cs="Arial"/>
          <w:lang w:val="en-US"/>
        </w:rPr>
        <w:t>, CO</w:t>
      </w:r>
      <w:r w:rsidRPr="002B25A7">
        <w:rPr>
          <w:rFonts w:ascii="Arial" w:hAnsi="Arial" w:cs="Arial"/>
          <w:vertAlign w:val="subscript"/>
          <w:lang w:val="en-US"/>
        </w:rPr>
        <w:t>2</w:t>
      </w:r>
      <w:r w:rsidRPr="002B25A7">
        <w:rPr>
          <w:rFonts w:ascii="Arial" w:hAnsi="Arial" w:cs="Arial"/>
          <w:lang w:val="en-US"/>
        </w:rPr>
        <w:t>, H</w:t>
      </w:r>
      <w:r w:rsidRPr="002B25A7">
        <w:rPr>
          <w:rFonts w:ascii="Arial" w:hAnsi="Arial" w:cs="Arial"/>
          <w:vertAlign w:val="subscript"/>
          <w:lang w:val="en-US"/>
        </w:rPr>
        <w:t>2</w:t>
      </w:r>
      <w:r w:rsidRPr="002B25A7">
        <w:rPr>
          <w:rFonts w:ascii="Arial" w:hAnsi="Arial" w:cs="Arial"/>
          <w:lang w:val="en-US"/>
        </w:rPr>
        <w:t xml:space="preserve">O mixing ratio, Model G1301, </w:t>
      </w:r>
      <w:proofErr w:type="spellStart"/>
      <w:r w:rsidRPr="002B25A7">
        <w:rPr>
          <w:rFonts w:ascii="Arial" w:hAnsi="Arial" w:cs="Arial"/>
          <w:lang w:val="en-US"/>
        </w:rPr>
        <w:t>Picarro</w:t>
      </w:r>
      <w:proofErr w:type="spellEnd"/>
      <w:r w:rsidRPr="002B25A7">
        <w:rPr>
          <w:rFonts w:ascii="Arial" w:hAnsi="Arial" w:cs="Arial"/>
          <w:lang w:val="en-US"/>
        </w:rPr>
        <w:t xml:space="preserve"> Inc., Empa). The OA-ICOS and the two CRDS instruments were calibrated twice per day with two working </w:t>
      </w:r>
      <w:proofErr w:type="gramStart"/>
      <w:r w:rsidRPr="002B25A7">
        <w:rPr>
          <w:rFonts w:ascii="Arial" w:hAnsi="Arial" w:cs="Arial"/>
          <w:lang w:val="en-US"/>
        </w:rPr>
        <w:t>standards,</w:t>
      </w:r>
      <w:proofErr w:type="gramEnd"/>
      <w:r w:rsidRPr="002B25A7">
        <w:rPr>
          <w:rFonts w:ascii="Arial" w:hAnsi="Arial" w:cs="Arial"/>
          <w:lang w:val="en-US"/>
        </w:rPr>
        <w:t xml:space="preserve"> named CG1 and CG2, 30 minutes each (Table 1). The reproducibility was assessed based on repeated analysis of pressurized air (target gas) every six hours for 30 minutes. </w:t>
      </w:r>
    </w:p>
    <w:p w:rsidR="00C21D56" w:rsidRDefault="002B25A7" w:rsidP="002B25A7">
      <w:pPr>
        <w:spacing w:line="276" w:lineRule="auto"/>
        <w:jc w:val="left"/>
        <w:rPr>
          <w:rFonts w:ascii="Arial" w:hAnsi="Arial" w:cs="Arial"/>
          <w:lang w:val="en-US"/>
        </w:rPr>
      </w:pPr>
      <w:r w:rsidRPr="002B25A7">
        <w:rPr>
          <w:rFonts w:ascii="Arial" w:hAnsi="Arial" w:cs="Arial"/>
          <w:lang w:val="en-US"/>
        </w:rPr>
        <w:lastRenderedPageBreak/>
        <w:t xml:space="preserve">Glass flasks were purged for 10 minutes with sample gas at 2 </w:t>
      </w:r>
      <w:proofErr w:type="spellStart"/>
      <w:r w:rsidRPr="002B25A7">
        <w:rPr>
          <w:rFonts w:ascii="Arial" w:hAnsi="Arial" w:cs="Arial"/>
          <w:lang w:val="en-US"/>
        </w:rPr>
        <w:t>slpm</w:t>
      </w:r>
      <w:proofErr w:type="spellEnd"/>
      <w:r w:rsidRPr="002B25A7">
        <w:rPr>
          <w:rFonts w:ascii="Arial" w:hAnsi="Arial" w:cs="Arial"/>
          <w:lang w:val="en-US"/>
        </w:rPr>
        <w:t xml:space="preserve"> using a membrane pump. Afterwards the down-stream valve was closed and the flasks were filled to 2 bar overpressure. These air samples were analyzed by IRMS at Utrecht University and MPI. Parallel to the glass flask sampling, 3 liters </w:t>
      </w:r>
      <w:proofErr w:type="spellStart"/>
      <w:r w:rsidRPr="002B25A7">
        <w:rPr>
          <w:rFonts w:ascii="Arial" w:hAnsi="Arial" w:cs="Arial"/>
          <w:lang w:val="en-US"/>
        </w:rPr>
        <w:t>Tedlar</w:t>
      </w:r>
      <w:proofErr w:type="spellEnd"/>
      <w:r w:rsidRPr="002B25A7">
        <w:rPr>
          <w:rFonts w:ascii="Arial" w:hAnsi="Arial" w:cs="Arial"/>
          <w:lang w:val="en-US"/>
        </w:rPr>
        <w:t xml:space="preserve"> bags (SKL) were also filled after purging the glass flasks at the outflow of the flasks. These bags were analyzed by IRMS at RHUL.</w:t>
      </w:r>
    </w:p>
    <w:p w:rsidR="004C0A40" w:rsidRDefault="004C0A40" w:rsidP="002B25A7">
      <w:pPr>
        <w:spacing w:line="276" w:lineRule="auto"/>
        <w:jc w:val="left"/>
        <w:rPr>
          <w:rFonts w:ascii="Arial" w:hAnsi="Arial" w:cs="Arial"/>
          <w:lang w:val="en-US"/>
        </w:rPr>
      </w:pPr>
    </w:p>
    <w:p w:rsidR="00993DD6" w:rsidRDefault="00C21D56" w:rsidP="00C21D56">
      <w:pPr>
        <w:spacing w:line="276" w:lineRule="auto"/>
        <w:jc w:val="left"/>
        <w:rPr>
          <w:rFonts w:ascii="Arial" w:hAnsi="Arial" w:cs="Arial"/>
          <w:lang w:val="en-US"/>
        </w:rPr>
      </w:pPr>
      <w:proofErr w:type="gramStart"/>
      <w:r>
        <w:rPr>
          <w:rFonts w:ascii="Arial" w:hAnsi="Arial" w:cs="Arial"/>
          <w:lang w:val="en-US"/>
        </w:rPr>
        <w:t>Table 1: CH</w:t>
      </w:r>
      <w:r w:rsidRPr="00C21D56">
        <w:rPr>
          <w:rFonts w:ascii="Arial" w:hAnsi="Arial" w:cs="Arial"/>
          <w:vertAlign w:val="subscript"/>
          <w:lang w:val="en-US"/>
        </w:rPr>
        <w:t>4</w:t>
      </w:r>
      <w:r>
        <w:rPr>
          <w:rFonts w:ascii="Arial" w:hAnsi="Arial" w:cs="Arial"/>
          <w:lang w:val="en-US"/>
        </w:rPr>
        <w:t xml:space="preserve"> mixing ratios and isotopic composition of the working standards (CG1 and CG2) and the pressurized air deployed as target gas as analyzed by IRMS at Utrecht University.</w:t>
      </w:r>
      <w:proofErr w:type="gram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4"/>
        <w:gridCol w:w="2445"/>
        <w:gridCol w:w="2445"/>
      </w:tblGrid>
      <w:tr w:rsidR="00C21D56" w:rsidTr="00C21D56">
        <w:tc>
          <w:tcPr>
            <w:tcW w:w="2444" w:type="dxa"/>
            <w:tcBorders>
              <w:top w:val="single" w:sz="4" w:space="0" w:color="auto"/>
              <w:bottom w:val="single" w:sz="8" w:space="0" w:color="auto"/>
            </w:tcBorders>
          </w:tcPr>
          <w:p w:rsidR="00C21D56" w:rsidRDefault="00C21D56" w:rsidP="00A935BB">
            <w:pPr>
              <w:spacing w:line="276" w:lineRule="auto"/>
              <w:jc w:val="left"/>
              <w:rPr>
                <w:rFonts w:ascii="Arial" w:hAnsi="Arial" w:cs="Arial"/>
                <w:lang w:val="en-US"/>
              </w:rPr>
            </w:pPr>
          </w:p>
        </w:tc>
        <w:tc>
          <w:tcPr>
            <w:tcW w:w="2444" w:type="dxa"/>
            <w:tcBorders>
              <w:top w:val="single" w:sz="4" w:space="0" w:color="auto"/>
              <w:bottom w:val="single" w:sz="8" w:space="0" w:color="auto"/>
            </w:tcBorders>
          </w:tcPr>
          <w:p w:rsidR="00C21D56" w:rsidRPr="00C21D56" w:rsidRDefault="00C21D56" w:rsidP="002B25A7">
            <w:pPr>
              <w:spacing w:line="276" w:lineRule="auto"/>
              <w:jc w:val="left"/>
              <w:rPr>
                <w:rFonts w:ascii="Arial" w:hAnsi="Arial" w:cs="Arial"/>
                <w:lang w:val="en-US"/>
              </w:rPr>
            </w:pPr>
            <w:r w:rsidRPr="00C21D56">
              <w:rPr>
                <w:rFonts w:ascii="Symbol" w:hAnsi="Symbol" w:cs="Arial"/>
                <w:lang w:val="en-US"/>
              </w:rPr>
              <w:t></w:t>
            </w:r>
            <w:r w:rsidRPr="00C21D56">
              <w:rPr>
                <w:rFonts w:ascii="Arial" w:hAnsi="Arial" w:cs="Arial"/>
                <w:vertAlign w:val="superscript"/>
                <w:lang w:val="en-US"/>
              </w:rPr>
              <w:t>13</w:t>
            </w:r>
            <w:r>
              <w:rPr>
                <w:rFonts w:ascii="Arial" w:hAnsi="Arial" w:cs="Arial"/>
                <w:lang w:val="en-US"/>
              </w:rPr>
              <w:t>C-CH</w:t>
            </w:r>
            <w:r w:rsidRPr="00C21D56">
              <w:rPr>
                <w:rFonts w:ascii="Arial" w:hAnsi="Arial" w:cs="Arial"/>
                <w:vertAlign w:val="subscript"/>
                <w:lang w:val="en-US"/>
              </w:rPr>
              <w:t>4</w:t>
            </w:r>
            <w:r>
              <w:rPr>
                <w:rFonts w:ascii="Arial" w:hAnsi="Arial" w:cs="Arial"/>
                <w:lang w:val="en-US"/>
              </w:rPr>
              <w:t xml:space="preserve"> [‰] vs</w:t>
            </w:r>
            <w:r w:rsidR="002B25A7">
              <w:rPr>
                <w:rFonts w:ascii="Arial" w:hAnsi="Arial" w:cs="Arial"/>
                <w:lang w:val="en-US"/>
              </w:rPr>
              <w:t>.</w:t>
            </w:r>
            <w:r>
              <w:rPr>
                <w:rFonts w:ascii="Arial" w:hAnsi="Arial" w:cs="Arial"/>
                <w:lang w:val="en-US"/>
              </w:rPr>
              <w:t xml:space="preserve"> </w:t>
            </w:r>
            <w:r w:rsidR="002B25A7">
              <w:rPr>
                <w:rFonts w:ascii="Arial" w:hAnsi="Arial" w:cs="Arial"/>
                <w:lang w:val="en-US"/>
              </w:rPr>
              <w:t>VPDB</w:t>
            </w:r>
          </w:p>
        </w:tc>
        <w:tc>
          <w:tcPr>
            <w:tcW w:w="2445" w:type="dxa"/>
            <w:tcBorders>
              <w:top w:val="single" w:sz="4" w:space="0" w:color="auto"/>
              <w:bottom w:val="single" w:sz="8" w:space="0" w:color="auto"/>
            </w:tcBorders>
          </w:tcPr>
          <w:p w:rsidR="00C21D56" w:rsidRDefault="00C21D56" w:rsidP="002B25A7">
            <w:pPr>
              <w:spacing w:line="276" w:lineRule="auto"/>
              <w:jc w:val="left"/>
              <w:rPr>
                <w:rFonts w:ascii="Arial" w:hAnsi="Arial" w:cs="Arial"/>
                <w:lang w:val="en-US"/>
              </w:rPr>
            </w:pPr>
            <w:r w:rsidRPr="00C21D56">
              <w:rPr>
                <w:rFonts w:ascii="Symbol" w:hAnsi="Symbol" w:cs="Arial"/>
                <w:lang w:val="en-US"/>
              </w:rPr>
              <w:t></w:t>
            </w:r>
            <w:r w:rsidR="00C77AFB" w:rsidRPr="00C77AFB">
              <w:rPr>
                <w:rFonts w:ascii="Arial" w:hAnsi="Arial" w:cs="Arial"/>
                <w:lang w:val="en-US"/>
              </w:rPr>
              <w:t>D</w:t>
            </w:r>
            <w:r>
              <w:rPr>
                <w:rFonts w:ascii="Arial" w:hAnsi="Arial" w:cs="Arial"/>
                <w:lang w:val="en-US"/>
              </w:rPr>
              <w:t>-CH</w:t>
            </w:r>
            <w:r w:rsidRPr="00C21D56">
              <w:rPr>
                <w:rFonts w:ascii="Arial" w:hAnsi="Arial" w:cs="Arial"/>
                <w:vertAlign w:val="subscript"/>
                <w:lang w:val="en-US"/>
              </w:rPr>
              <w:t>4</w:t>
            </w:r>
            <w:r>
              <w:rPr>
                <w:rFonts w:ascii="Arial" w:hAnsi="Arial" w:cs="Arial"/>
                <w:lang w:val="en-US"/>
              </w:rPr>
              <w:t xml:space="preserve"> [‰] vs </w:t>
            </w:r>
            <w:r w:rsidR="002B25A7">
              <w:rPr>
                <w:rFonts w:ascii="Arial" w:hAnsi="Arial" w:cs="Arial"/>
                <w:lang w:val="en-US"/>
              </w:rPr>
              <w:t>VSMOW</w:t>
            </w:r>
          </w:p>
        </w:tc>
        <w:tc>
          <w:tcPr>
            <w:tcW w:w="2445" w:type="dxa"/>
            <w:tcBorders>
              <w:top w:val="single" w:sz="4" w:space="0" w:color="auto"/>
              <w:bottom w:val="single" w:sz="8" w:space="0" w:color="auto"/>
            </w:tcBorders>
          </w:tcPr>
          <w:p w:rsidR="00C21D56" w:rsidRDefault="00C21D56" w:rsidP="00A935BB">
            <w:pPr>
              <w:spacing w:line="276" w:lineRule="auto"/>
              <w:jc w:val="left"/>
              <w:rPr>
                <w:rFonts w:ascii="Arial" w:hAnsi="Arial" w:cs="Arial"/>
                <w:lang w:val="en-US"/>
              </w:rPr>
            </w:pPr>
            <w:r>
              <w:rPr>
                <w:rFonts w:ascii="Arial" w:hAnsi="Arial" w:cs="Arial"/>
                <w:lang w:val="en-US"/>
              </w:rPr>
              <w:t>CH</w:t>
            </w:r>
            <w:r w:rsidRPr="00C21D56">
              <w:rPr>
                <w:rFonts w:ascii="Arial" w:hAnsi="Arial" w:cs="Arial"/>
                <w:vertAlign w:val="subscript"/>
                <w:lang w:val="en-US"/>
              </w:rPr>
              <w:t>4</w:t>
            </w:r>
            <w:r>
              <w:rPr>
                <w:rFonts w:ascii="Arial" w:hAnsi="Arial" w:cs="Arial"/>
                <w:lang w:val="en-US"/>
              </w:rPr>
              <w:t xml:space="preserve"> [ppm]</w:t>
            </w:r>
            <w:r w:rsidR="002B25A7">
              <w:rPr>
                <w:rFonts w:ascii="Arial" w:hAnsi="Arial" w:cs="Arial"/>
                <w:lang w:val="en-US"/>
              </w:rPr>
              <w:t xml:space="preserve"> (dilution)</w:t>
            </w:r>
          </w:p>
        </w:tc>
      </w:tr>
      <w:tr w:rsidR="002B25A7" w:rsidRPr="002B25A7" w:rsidTr="00C21D56">
        <w:tc>
          <w:tcPr>
            <w:tcW w:w="2444" w:type="dxa"/>
            <w:tcBorders>
              <w:top w:val="single" w:sz="8" w:space="0" w:color="auto"/>
            </w:tcBorders>
          </w:tcPr>
          <w:p w:rsidR="002B25A7" w:rsidRDefault="002B25A7" w:rsidP="00A935BB">
            <w:pPr>
              <w:spacing w:line="276" w:lineRule="auto"/>
              <w:jc w:val="left"/>
              <w:rPr>
                <w:rFonts w:ascii="Arial" w:hAnsi="Arial" w:cs="Arial"/>
                <w:lang w:val="en-US"/>
              </w:rPr>
            </w:pPr>
            <w:r>
              <w:rPr>
                <w:rFonts w:ascii="Arial" w:hAnsi="Arial" w:cs="Arial"/>
                <w:lang w:val="en-US"/>
              </w:rPr>
              <w:t>CG1</w:t>
            </w:r>
          </w:p>
        </w:tc>
        <w:tc>
          <w:tcPr>
            <w:tcW w:w="2444" w:type="dxa"/>
            <w:tcBorders>
              <w:top w:val="single" w:sz="8" w:space="0" w:color="auto"/>
            </w:tcBorders>
          </w:tcPr>
          <w:p w:rsidR="002B25A7" w:rsidRPr="002B25A7" w:rsidRDefault="002B25A7" w:rsidP="00F550EA">
            <w:pPr>
              <w:spacing w:line="276" w:lineRule="auto"/>
              <w:jc w:val="left"/>
              <w:rPr>
                <w:rFonts w:ascii="Arial" w:hAnsi="Arial" w:cs="Arial"/>
              </w:rPr>
            </w:pPr>
            <w:r w:rsidRPr="002B25A7">
              <w:rPr>
                <w:rFonts w:ascii="Arial" w:hAnsi="Arial" w:cs="Arial"/>
              </w:rPr>
              <w:t>-46.3 ± 0.4</w:t>
            </w:r>
          </w:p>
        </w:tc>
        <w:tc>
          <w:tcPr>
            <w:tcW w:w="2445" w:type="dxa"/>
            <w:tcBorders>
              <w:top w:val="single" w:sz="8" w:space="0" w:color="auto"/>
            </w:tcBorders>
          </w:tcPr>
          <w:p w:rsidR="002B25A7" w:rsidRPr="002B25A7" w:rsidRDefault="002B25A7" w:rsidP="00F550EA">
            <w:pPr>
              <w:spacing w:line="276" w:lineRule="auto"/>
              <w:jc w:val="left"/>
              <w:rPr>
                <w:rFonts w:ascii="Arial" w:hAnsi="Arial" w:cs="Arial"/>
              </w:rPr>
            </w:pPr>
            <w:r w:rsidRPr="002B25A7">
              <w:rPr>
                <w:rFonts w:ascii="Arial" w:hAnsi="Arial" w:cs="Arial"/>
              </w:rPr>
              <w:t>-243</w:t>
            </w:r>
          </w:p>
        </w:tc>
        <w:tc>
          <w:tcPr>
            <w:tcW w:w="2445" w:type="dxa"/>
            <w:tcBorders>
              <w:top w:val="single" w:sz="8" w:space="0" w:color="auto"/>
            </w:tcBorders>
          </w:tcPr>
          <w:p w:rsidR="002B25A7" w:rsidRPr="002B25A7" w:rsidRDefault="002B25A7" w:rsidP="00F550EA">
            <w:pPr>
              <w:spacing w:line="276" w:lineRule="auto"/>
              <w:jc w:val="left"/>
              <w:rPr>
                <w:rFonts w:ascii="Arial" w:hAnsi="Arial" w:cs="Arial"/>
              </w:rPr>
            </w:pPr>
            <w:r w:rsidRPr="002B25A7">
              <w:rPr>
                <w:rFonts w:ascii="Arial" w:hAnsi="Arial" w:cs="Arial"/>
              </w:rPr>
              <w:t>1.860 (1:500)</w:t>
            </w:r>
          </w:p>
        </w:tc>
      </w:tr>
      <w:tr w:rsidR="002B25A7" w:rsidRPr="002B25A7" w:rsidTr="00C21D56">
        <w:tc>
          <w:tcPr>
            <w:tcW w:w="2444" w:type="dxa"/>
          </w:tcPr>
          <w:p w:rsidR="002B25A7" w:rsidRDefault="002B25A7" w:rsidP="00A935BB">
            <w:pPr>
              <w:spacing w:line="276" w:lineRule="auto"/>
              <w:jc w:val="left"/>
              <w:rPr>
                <w:rFonts w:ascii="Arial" w:hAnsi="Arial" w:cs="Arial"/>
                <w:lang w:val="en-US"/>
              </w:rPr>
            </w:pPr>
            <w:r>
              <w:rPr>
                <w:rFonts w:ascii="Arial" w:hAnsi="Arial" w:cs="Arial"/>
                <w:lang w:val="en-US"/>
              </w:rPr>
              <w:t>CG2</w:t>
            </w:r>
          </w:p>
        </w:tc>
        <w:tc>
          <w:tcPr>
            <w:tcW w:w="2444" w:type="dxa"/>
          </w:tcPr>
          <w:p w:rsidR="002B25A7" w:rsidRPr="002B25A7" w:rsidRDefault="002B25A7" w:rsidP="00F550EA">
            <w:pPr>
              <w:spacing w:line="276" w:lineRule="auto"/>
              <w:jc w:val="left"/>
              <w:rPr>
                <w:rFonts w:ascii="Arial" w:hAnsi="Arial" w:cs="Arial"/>
              </w:rPr>
            </w:pPr>
            <w:r w:rsidRPr="002B25A7">
              <w:rPr>
                <w:rFonts w:ascii="Arial" w:hAnsi="Arial" w:cs="Arial"/>
              </w:rPr>
              <w:t>-36.2 ± 0.1</w:t>
            </w:r>
          </w:p>
        </w:tc>
        <w:tc>
          <w:tcPr>
            <w:tcW w:w="2445" w:type="dxa"/>
          </w:tcPr>
          <w:p w:rsidR="002B25A7" w:rsidRPr="002B25A7" w:rsidRDefault="002B25A7" w:rsidP="00F550EA">
            <w:pPr>
              <w:spacing w:line="276" w:lineRule="auto"/>
              <w:jc w:val="left"/>
              <w:rPr>
                <w:rFonts w:ascii="Arial" w:hAnsi="Arial" w:cs="Arial"/>
              </w:rPr>
            </w:pPr>
            <w:r w:rsidRPr="002B25A7">
              <w:rPr>
                <w:rFonts w:ascii="Arial" w:hAnsi="Arial" w:cs="Arial"/>
              </w:rPr>
              <w:t>-174</w:t>
            </w:r>
          </w:p>
        </w:tc>
        <w:tc>
          <w:tcPr>
            <w:tcW w:w="2445" w:type="dxa"/>
          </w:tcPr>
          <w:p w:rsidR="002B25A7" w:rsidRPr="002B25A7" w:rsidRDefault="002B25A7" w:rsidP="00F550EA">
            <w:pPr>
              <w:spacing w:line="276" w:lineRule="auto"/>
              <w:jc w:val="left"/>
              <w:rPr>
                <w:rFonts w:ascii="Arial" w:hAnsi="Arial" w:cs="Arial"/>
              </w:rPr>
            </w:pPr>
            <w:r w:rsidRPr="002B25A7">
              <w:rPr>
                <w:rFonts w:ascii="Arial" w:hAnsi="Arial" w:cs="Arial"/>
              </w:rPr>
              <w:t>1.910 (1:614)</w:t>
            </w:r>
          </w:p>
        </w:tc>
      </w:tr>
      <w:tr w:rsidR="002B25A7" w:rsidRPr="002B25A7" w:rsidTr="00C21D56">
        <w:tc>
          <w:tcPr>
            <w:tcW w:w="2444" w:type="dxa"/>
            <w:tcBorders>
              <w:bottom w:val="single" w:sz="4" w:space="0" w:color="auto"/>
            </w:tcBorders>
          </w:tcPr>
          <w:p w:rsidR="002B25A7" w:rsidRDefault="002B25A7" w:rsidP="00A935BB">
            <w:pPr>
              <w:spacing w:line="276" w:lineRule="auto"/>
              <w:jc w:val="left"/>
              <w:rPr>
                <w:rFonts w:ascii="Arial" w:hAnsi="Arial" w:cs="Arial"/>
                <w:lang w:val="en-US"/>
              </w:rPr>
            </w:pPr>
            <w:r>
              <w:rPr>
                <w:rFonts w:ascii="Arial" w:hAnsi="Arial" w:cs="Arial"/>
                <w:lang w:val="en-US"/>
              </w:rPr>
              <w:t>Target gas</w:t>
            </w:r>
          </w:p>
        </w:tc>
        <w:tc>
          <w:tcPr>
            <w:tcW w:w="2444" w:type="dxa"/>
            <w:tcBorders>
              <w:bottom w:val="single" w:sz="4" w:space="0" w:color="auto"/>
            </w:tcBorders>
          </w:tcPr>
          <w:p w:rsidR="002B25A7" w:rsidRPr="002B25A7" w:rsidRDefault="002B25A7" w:rsidP="00F550EA">
            <w:pPr>
              <w:spacing w:line="276" w:lineRule="auto"/>
              <w:jc w:val="left"/>
              <w:rPr>
                <w:rFonts w:ascii="Arial" w:hAnsi="Arial" w:cs="Arial"/>
              </w:rPr>
            </w:pPr>
            <w:r w:rsidRPr="002B25A7">
              <w:rPr>
                <w:rFonts w:ascii="Arial" w:hAnsi="Arial" w:cs="Arial"/>
              </w:rPr>
              <w:t>-48.0 ± 0.2</w:t>
            </w:r>
          </w:p>
        </w:tc>
        <w:tc>
          <w:tcPr>
            <w:tcW w:w="2445" w:type="dxa"/>
            <w:tcBorders>
              <w:bottom w:val="single" w:sz="4" w:space="0" w:color="auto"/>
            </w:tcBorders>
          </w:tcPr>
          <w:p w:rsidR="002B25A7" w:rsidRPr="002B25A7" w:rsidRDefault="002B25A7" w:rsidP="00F550EA">
            <w:pPr>
              <w:spacing w:line="276" w:lineRule="auto"/>
              <w:jc w:val="left"/>
              <w:rPr>
                <w:rFonts w:ascii="Arial" w:hAnsi="Arial" w:cs="Arial"/>
              </w:rPr>
            </w:pPr>
            <w:r w:rsidRPr="002B25A7">
              <w:rPr>
                <w:rFonts w:ascii="Arial" w:hAnsi="Arial" w:cs="Arial"/>
              </w:rPr>
              <w:t>-114</w:t>
            </w:r>
          </w:p>
        </w:tc>
        <w:tc>
          <w:tcPr>
            <w:tcW w:w="2445" w:type="dxa"/>
            <w:tcBorders>
              <w:bottom w:val="single" w:sz="4" w:space="0" w:color="auto"/>
            </w:tcBorders>
          </w:tcPr>
          <w:p w:rsidR="002B25A7" w:rsidRPr="002B25A7" w:rsidRDefault="002B25A7" w:rsidP="00F550EA">
            <w:pPr>
              <w:spacing w:line="276" w:lineRule="auto"/>
              <w:jc w:val="left"/>
              <w:rPr>
                <w:rFonts w:ascii="Arial" w:hAnsi="Arial" w:cs="Arial"/>
              </w:rPr>
            </w:pPr>
            <w:r w:rsidRPr="002B25A7">
              <w:rPr>
                <w:rFonts w:ascii="Arial" w:hAnsi="Arial" w:cs="Arial"/>
              </w:rPr>
              <w:t>2.342 ± 0.0002</w:t>
            </w:r>
          </w:p>
        </w:tc>
      </w:tr>
    </w:tbl>
    <w:p w:rsidR="00993DD6" w:rsidRDefault="00993DD6" w:rsidP="00A935BB">
      <w:pPr>
        <w:spacing w:line="276" w:lineRule="auto"/>
        <w:jc w:val="left"/>
        <w:rPr>
          <w:rFonts w:ascii="Arial" w:hAnsi="Arial" w:cs="Arial"/>
          <w:lang w:val="en-US"/>
        </w:rPr>
      </w:pPr>
    </w:p>
    <w:p w:rsidR="001C6594" w:rsidRDefault="001C6594" w:rsidP="00A935BB">
      <w:pPr>
        <w:spacing w:line="276" w:lineRule="auto"/>
        <w:jc w:val="left"/>
        <w:rPr>
          <w:rFonts w:ascii="Arial" w:hAnsi="Arial" w:cs="Arial"/>
          <w:lang w:val="en-US"/>
        </w:rPr>
      </w:pPr>
    </w:p>
    <w:p w:rsidR="00EA53E6" w:rsidRDefault="00EA53E6" w:rsidP="002C586A">
      <w:pPr>
        <w:pStyle w:val="Listenabsatz"/>
        <w:numPr>
          <w:ilvl w:val="0"/>
          <w:numId w:val="1"/>
        </w:numPr>
        <w:spacing w:line="276" w:lineRule="auto"/>
        <w:jc w:val="left"/>
        <w:rPr>
          <w:rFonts w:ascii="Arial" w:hAnsi="Arial" w:cs="Arial"/>
          <w:lang w:val="en-US"/>
        </w:rPr>
      </w:pPr>
      <w:r w:rsidRPr="00F82527">
        <w:rPr>
          <w:rFonts w:ascii="Arial" w:hAnsi="Arial" w:cs="Arial"/>
          <w:lang w:val="en-US"/>
        </w:rPr>
        <w:t>Preliminary results and conclusions</w:t>
      </w:r>
    </w:p>
    <w:p w:rsidR="00B874DA" w:rsidRDefault="00B874DA" w:rsidP="00B874DA">
      <w:pPr>
        <w:spacing w:line="276" w:lineRule="auto"/>
        <w:jc w:val="left"/>
        <w:rPr>
          <w:rFonts w:ascii="Arial" w:hAnsi="Arial" w:cs="Arial"/>
          <w:lang w:val="en-US"/>
        </w:rPr>
      </w:pPr>
    </w:p>
    <w:p w:rsidR="00C21D56" w:rsidRDefault="002B25A7" w:rsidP="00B874DA">
      <w:pPr>
        <w:spacing w:line="276" w:lineRule="auto"/>
        <w:jc w:val="left"/>
        <w:rPr>
          <w:rFonts w:ascii="Arial" w:hAnsi="Arial" w:cs="Arial"/>
          <w:lang w:val="en-US"/>
        </w:rPr>
      </w:pPr>
      <w:r w:rsidRPr="002B25A7">
        <w:rPr>
          <w:rFonts w:ascii="Arial" w:hAnsi="Arial" w:cs="Arial"/>
          <w:lang w:val="en-US"/>
        </w:rPr>
        <w:t xml:space="preserve">The CH4 isotopic composition was analyzed over more than two weeks in real-time by laser spectroscopy and off-line by flask or bag sampling in combination with IRMS analysis. At the moment still part of the IRMS data is missing, and therefore interpretation of the data is ongoing. The reproducibility of combined preconcentration QCLAS analysis for repeated target gas measurements was 0.19 ‰ for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C-CH</w:t>
      </w:r>
      <w:r w:rsidRPr="002B25A7">
        <w:rPr>
          <w:rFonts w:ascii="Arial" w:hAnsi="Arial" w:cs="Arial"/>
          <w:vertAlign w:val="subscript"/>
          <w:lang w:val="en-US"/>
        </w:rPr>
        <w:t>4</w:t>
      </w:r>
      <w:r w:rsidRPr="002B25A7">
        <w:rPr>
          <w:rFonts w:ascii="Arial" w:hAnsi="Arial" w:cs="Arial"/>
          <w:lang w:val="en-US"/>
        </w:rPr>
        <w:t xml:space="preserve"> and 1.7 ‰ for </w:t>
      </w:r>
      <w:r w:rsidRPr="002B25A7">
        <w:rPr>
          <w:rFonts w:ascii="Symbol" w:hAnsi="Symbol" w:cs="Arial"/>
          <w:lang w:val="en-US"/>
        </w:rPr>
        <w:t></w:t>
      </w:r>
      <w:r w:rsidRPr="002B25A7">
        <w:rPr>
          <w:rFonts w:ascii="Arial" w:hAnsi="Arial" w:cs="Arial"/>
          <w:lang w:val="en-US"/>
        </w:rPr>
        <w:t>D-CH</w:t>
      </w:r>
      <w:r w:rsidRPr="002B25A7">
        <w:rPr>
          <w:rFonts w:ascii="Arial" w:hAnsi="Arial" w:cs="Arial"/>
          <w:vertAlign w:val="subscript"/>
          <w:lang w:val="en-US"/>
        </w:rPr>
        <w:t>4</w:t>
      </w:r>
      <w:r w:rsidRPr="002B25A7">
        <w:rPr>
          <w:rFonts w:ascii="Arial" w:hAnsi="Arial" w:cs="Arial"/>
          <w:lang w:val="en-US"/>
        </w:rPr>
        <w:t xml:space="preserve">. The reproducibility of CRDS (G2201-I) and OA-ICOS (MCIA-24e-EP) for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C-CH</w:t>
      </w:r>
      <w:r w:rsidRPr="002B25A7">
        <w:rPr>
          <w:rFonts w:ascii="Arial" w:hAnsi="Arial" w:cs="Arial"/>
          <w:vertAlign w:val="subscript"/>
          <w:lang w:val="en-US"/>
        </w:rPr>
        <w:t>4</w:t>
      </w:r>
      <w:r w:rsidRPr="002B25A7">
        <w:rPr>
          <w:rFonts w:ascii="Arial" w:hAnsi="Arial" w:cs="Arial"/>
          <w:lang w:val="en-US"/>
        </w:rPr>
        <w:t xml:space="preserve"> was 0.26 ‰ and 1.6 ‰, respectively. Preliminary results indicate a good agreement between QCLAS and IRMS (UU) for CH4 mixing ratio,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C-CH</w:t>
      </w:r>
      <w:r w:rsidRPr="002B25A7">
        <w:rPr>
          <w:rFonts w:ascii="Arial" w:hAnsi="Arial" w:cs="Arial"/>
          <w:vertAlign w:val="subscript"/>
          <w:lang w:val="en-US"/>
        </w:rPr>
        <w:t>4</w:t>
      </w:r>
      <w:r w:rsidRPr="002B25A7">
        <w:rPr>
          <w:rFonts w:ascii="Arial" w:hAnsi="Arial" w:cs="Arial"/>
          <w:lang w:val="en-US"/>
        </w:rPr>
        <w:t xml:space="preserve"> and </w:t>
      </w:r>
      <w:r w:rsidRPr="002B25A7">
        <w:rPr>
          <w:rFonts w:ascii="Symbol" w:hAnsi="Symbol" w:cs="Arial"/>
          <w:lang w:val="en-US"/>
        </w:rPr>
        <w:t></w:t>
      </w:r>
      <w:r w:rsidRPr="002B25A7">
        <w:rPr>
          <w:rFonts w:ascii="Arial" w:hAnsi="Arial" w:cs="Arial"/>
          <w:lang w:val="en-US"/>
        </w:rPr>
        <w:t>D-CH</w:t>
      </w:r>
      <w:r w:rsidRPr="002B25A7">
        <w:rPr>
          <w:rFonts w:ascii="Arial" w:hAnsi="Arial" w:cs="Arial"/>
          <w:vertAlign w:val="subscript"/>
          <w:lang w:val="en-US"/>
        </w:rPr>
        <w:t>4</w:t>
      </w:r>
      <w:r w:rsidRPr="002B25A7">
        <w:rPr>
          <w:rFonts w:ascii="Arial" w:hAnsi="Arial" w:cs="Arial"/>
          <w:lang w:val="en-US"/>
        </w:rPr>
        <w:t xml:space="preserve"> (Figure 2). Results for OA-ICOS were not plotted in Figure 2 due to a poor compatibility with the other techniques; possible reasons include: the much lower precision, the strong dependence of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 on CH</w:t>
      </w:r>
      <w:r w:rsidRPr="002B25A7">
        <w:rPr>
          <w:rFonts w:ascii="Arial" w:hAnsi="Arial" w:cs="Arial"/>
          <w:vertAlign w:val="subscript"/>
          <w:lang w:val="en-US"/>
        </w:rPr>
        <w:t>4</w:t>
      </w:r>
      <w:r w:rsidRPr="002B25A7">
        <w:rPr>
          <w:rFonts w:ascii="Arial" w:hAnsi="Arial" w:cs="Arial"/>
          <w:lang w:val="en-US"/>
        </w:rPr>
        <w:t xml:space="preserve"> mixing ratios, an unknown interference leading to a much stronger nighttime change in </w:t>
      </w:r>
      <w:r w:rsidRPr="002B25A7">
        <w:rPr>
          <w:rFonts w:ascii="Symbol" w:hAnsi="Symbol" w:cs="Arial"/>
          <w:lang w:val="en-US"/>
        </w:rPr>
        <w:t></w:t>
      </w:r>
      <w:r w:rsidRPr="002B25A7">
        <w:rPr>
          <w:rFonts w:ascii="Arial" w:hAnsi="Arial" w:cs="Arial"/>
          <w:vertAlign w:val="superscript"/>
          <w:lang w:val="en-US"/>
        </w:rPr>
        <w:t>13</w:t>
      </w:r>
      <w:r w:rsidRPr="002B25A7">
        <w:rPr>
          <w:rFonts w:ascii="Arial" w:hAnsi="Arial" w:cs="Arial"/>
          <w:lang w:val="en-US"/>
        </w:rPr>
        <w:t>C-CH</w:t>
      </w:r>
      <w:r w:rsidRPr="002B25A7">
        <w:rPr>
          <w:rFonts w:ascii="Arial" w:hAnsi="Arial" w:cs="Arial"/>
          <w:vertAlign w:val="subscript"/>
          <w:lang w:val="en-US"/>
        </w:rPr>
        <w:t>4</w:t>
      </w:r>
      <w:r w:rsidRPr="002B25A7">
        <w:rPr>
          <w:rFonts w:ascii="Arial" w:hAnsi="Arial" w:cs="Arial"/>
          <w:lang w:val="en-US"/>
        </w:rPr>
        <w:t>. The IRMS results by Utrecht University and RHUL exhibit a constant offset of 0.3 ‰. After receipt of the final dataset a manuscript will be submitted to a peer reviewed journal for publication.</w:t>
      </w:r>
    </w:p>
    <w:p w:rsidR="00C21D56" w:rsidRDefault="00C21D56" w:rsidP="00B874DA">
      <w:pPr>
        <w:spacing w:line="276" w:lineRule="auto"/>
        <w:jc w:val="left"/>
        <w:rPr>
          <w:rFonts w:ascii="Arial" w:hAnsi="Arial" w:cs="Arial"/>
          <w:lang w:val="en-US"/>
        </w:rPr>
      </w:pPr>
    </w:p>
    <w:p w:rsidR="00C21D56" w:rsidRDefault="00631374" w:rsidP="00B874DA">
      <w:pPr>
        <w:spacing w:line="276" w:lineRule="auto"/>
        <w:jc w:val="left"/>
        <w:rPr>
          <w:rFonts w:ascii="Arial" w:hAnsi="Arial" w:cs="Arial"/>
          <w:lang w:val="en-US"/>
        </w:rPr>
      </w:pPr>
      <w:r>
        <w:rPr>
          <w:rFonts w:ascii="Arial" w:hAnsi="Arial" w:cs="Arial"/>
          <w:noProof/>
          <w:lang w:val="de-CH" w:eastAsia="de-CH"/>
        </w:rPr>
        <w:drawing>
          <wp:inline distT="0" distB="0" distL="0" distR="0">
            <wp:extent cx="4903200" cy="32364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 repor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3200" cy="3236400"/>
                    </a:xfrm>
                    <a:prstGeom prst="rect">
                      <a:avLst/>
                    </a:prstGeom>
                  </pic:spPr>
                </pic:pic>
              </a:graphicData>
            </a:graphic>
          </wp:inline>
        </w:drawing>
      </w:r>
    </w:p>
    <w:p w:rsidR="00C21D56" w:rsidRDefault="00C21D56" w:rsidP="00B874DA">
      <w:pPr>
        <w:spacing w:line="276" w:lineRule="auto"/>
        <w:jc w:val="left"/>
        <w:rPr>
          <w:rFonts w:ascii="Arial" w:hAnsi="Arial" w:cs="Arial"/>
          <w:lang w:val="en-US"/>
        </w:rPr>
      </w:pPr>
    </w:p>
    <w:p w:rsidR="00631374" w:rsidRDefault="00631374" w:rsidP="00631374">
      <w:pPr>
        <w:spacing w:line="276" w:lineRule="auto"/>
        <w:jc w:val="left"/>
        <w:rPr>
          <w:rFonts w:ascii="Arial" w:hAnsi="Arial" w:cs="Arial"/>
          <w:lang w:val="en-US"/>
        </w:rPr>
      </w:pPr>
      <w:r>
        <w:rPr>
          <w:rFonts w:ascii="Arial" w:hAnsi="Arial" w:cs="Arial"/>
          <w:lang w:val="en-US"/>
        </w:rPr>
        <w:t>Figure 2: Compatibility of CH</w:t>
      </w:r>
      <w:r w:rsidRPr="00631374">
        <w:rPr>
          <w:rFonts w:ascii="Arial" w:hAnsi="Arial" w:cs="Arial"/>
          <w:vertAlign w:val="subscript"/>
          <w:lang w:val="en-US"/>
        </w:rPr>
        <w:t>4</w:t>
      </w:r>
      <w:r>
        <w:rPr>
          <w:rFonts w:ascii="Arial" w:hAnsi="Arial" w:cs="Arial"/>
          <w:lang w:val="en-US"/>
        </w:rPr>
        <w:t xml:space="preserve"> isotopic analysis by laser spectroscopy and off-line IRMS. </w:t>
      </w:r>
    </w:p>
    <w:p w:rsidR="00631374" w:rsidRPr="00B874DA" w:rsidRDefault="00631374" w:rsidP="00B874DA">
      <w:pPr>
        <w:spacing w:line="276" w:lineRule="auto"/>
        <w:jc w:val="left"/>
        <w:rPr>
          <w:rFonts w:ascii="Arial" w:hAnsi="Arial" w:cs="Arial"/>
          <w:lang w:val="en-US"/>
        </w:rPr>
      </w:pPr>
    </w:p>
    <w:p w:rsidR="00EA53E6" w:rsidRDefault="00EA53E6" w:rsidP="002C586A">
      <w:pPr>
        <w:pStyle w:val="Listenabsatz"/>
        <w:numPr>
          <w:ilvl w:val="0"/>
          <w:numId w:val="1"/>
        </w:numPr>
        <w:spacing w:line="276" w:lineRule="auto"/>
        <w:jc w:val="left"/>
        <w:rPr>
          <w:rFonts w:ascii="Arial" w:hAnsi="Arial" w:cs="Arial"/>
          <w:lang w:val="en-US"/>
        </w:rPr>
      </w:pPr>
      <w:r w:rsidRPr="00F82527">
        <w:rPr>
          <w:rFonts w:ascii="Arial" w:hAnsi="Arial" w:cs="Arial"/>
          <w:lang w:val="en-US"/>
        </w:rPr>
        <w:t>Outcome and future studies</w:t>
      </w:r>
    </w:p>
    <w:p w:rsidR="00B874DA" w:rsidRDefault="002B25A7" w:rsidP="00B874DA">
      <w:pPr>
        <w:spacing w:line="276" w:lineRule="auto"/>
        <w:jc w:val="left"/>
        <w:rPr>
          <w:rFonts w:ascii="Arial" w:hAnsi="Arial" w:cs="Arial"/>
          <w:lang w:val="en-US"/>
        </w:rPr>
      </w:pPr>
      <w:r>
        <w:rPr>
          <w:rFonts w:ascii="Arial" w:hAnsi="Arial" w:cs="Arial"/>
          <w:lang w:val="en-US"/>
        </w:rPr>
        <w:t xml:space="preserve">Results of the study will be published in a peer-reviewed journal. At present an extended field campaign is ongoing at the </w:t>
      </w:r>
      <w:proofErr w:type="spellStart"/>
      <w:r>
        <w:rPr>
          <w:rFonts w:ascii="Arial" w:hAnsi="Arial" w:cs="Arial"/>
          <w:lang w:val="en-US"/>
        </w:rPr>
        <w:t>Cabau</w:t>
      </w:r>
      <w:r w:rsidR="00CE3945">
        <w:rPr>
          <w:rFonts w:ascii="Arial" w:hAnsi="Arial" w:cs="Arial"/>
          <w:lang w:val="en-US"/>
        </w:rPr>
        <w:t>w</w:t>
      </w:r>
      <w:proofErr w:type="spellEnd"/>
      <w:r w:rsidR="00CE3945">
        <w:rPr>
          <w:rFonts w:ascii="Arial" w:hAnsi="Arial" w:cs="Arial"/>
          <w:lang w:val="en-US"/>
        </w:rPr>
        <w:t xml:space="preserve"> Tall tower in the Netherlands organized by Utrecht University.</w:t>
      </w:r>
    </w:p>
    <w:p w:rsidR="008421BA" w:rsidRDefault="008421BA" w:rsidP="00B874DA">
      <w:pPr>
        <w:spacing w:line="276" w:lineRule="auto"/>
        <w:jc w:val="left"/>
        <w:rPr>
          <w:rFonts w:ascii="Arial" w:hAnsi="Arial" w:cs="Arial"/>
          <w:lang w:val="en-US"/>
        </w:rPr>
      </w:pPr>
    </w:p>
    <w:p w:rsidR="001E57A6" w:rsidRDefault="001E57A6" w:rsidP="00B874DA">
      <w:pPr>
        <w:spacing w:line="276" w:lineRule="auto"/>
        <w:jc w:val="left"/>
        <w:rPr>
          <w:rFonts w:ascii="Arial" w:hAnsi="Arial" w:cs="Arial"/>
          <w:lang w:val="en-US"/>
        </w:rPr>
      </w:pPr>
    </w:p>
    <w:p w:rsidR="00EA53E6" w:rsidRDefault="00EA53E6" w:rsidP="002C586A">
      <w:pPr>
        <w:pStyle w:val="Listenabsatz"/>
        <w:numPr>
          <w:ilvl w:val="0"/>
          <w:numId w:val="1"/>
        </w:numPr>
        <w:spacing w:line="276" w:lineRule="auto"/>
        <w:jc w:val="left"/>
        <w:rPr>
          <w:rFonts w:ascii="Arial" w:hAnsi="Arial" w:cs="Arial"/>
          <w:lang w:val="en-US"/>
        </w:rPr>
      </w:pPr>
      <w:r w:rsidRPr="00F82527">
        <w:rPr>
          <w:rFonts w:ascii="Arial" w:hAnsi="Arial" w:cs="Arial"/>
          <w:lang w:val="en-US"/>
        </w:rPr>
        <w:t>References</w:t>
      </w:r>
    </w:p>
    <w:p w:rsidR="00463768" w:rsidRPr="00463768" w:rsidRDefault="00463768" w:rsidP="00463768">
      <w:pPr>
        <w:spacing w:line="276" w:lineRule="auto"/>
        <w:jc w:val="left"/>
        <w:rPr>
          <w:rFonts w:ascii="Arial" w:hAnsi="Arial" w:cs="Arial"/>
          <w:lang w:val="en-US"/>
        </w:rPr>
      </w:pPr>
      <w:r w:rsidRPr="00463768">
        <w:rPr>
          <w:rFonts w:ascii="Arial" w:hAnsi="Arial" w:cs="Arial"/>
          <w:lang w:val="en-US"/>
        </w:rPr>
        <w:t xml:space="preserve">[1] Eyer, S., </w:t>
      </w:r>
      <w:proofErr w:type="spellStart"/>
      <w:r w:rsidRPr="00463768">
        <w:rPr>
          <w:rFonts w:ascii="Arial" w:hAnsi="Arial" w:cs="Arial"/>
          <w:lang w:val="en-US"/>
        </w:rPr>
        <w:t>Stadie</w:t>
      </w:r>
      <w:proofErr w:type="spellEnd"/>
      <w:r w:rsidRPr="00463768">
        <w:rPr>
          <w:rFonts w:ascii="Arial" w:hAnsi="Arial" w:cs="Arial"/>
          <w:lang w:val="en-US"/>
        </w:rPr>
        <w:t>, N.P., Borgschulte, A., Emmenegger, L., and Mohn, J. (2014). Methane preconcentration by adsorption: A methodology for materials and conditions selection. Adsorption 20(5-6): 657-666.</w:t>
      </w:r>
    </w:p>
    <w:p w:rsidR="00EA53E6" w:rsidRDefault="00EA53E6" w:rsidP="00EA53E6">
      <w:pPr>
        <w:jc w:val="left"/>
        <w:rPr>
          <w:i/>
          <w:lang w:val="en-US"/>
        </w:rPr>
      </w:pPr>
    </w:p>
    <w:p w:rsidR="00EA53E6" w:rsidRPr="00EA53E6" w:rsidRDefault="00EA53E6" w:rsidP="00EA53E6">
      <w:pPr>
        <w:jc w:val="left"/>
        <w:rPr>
          <w:i/>
          <w:lang w:val="en-US"/>
        </w:rPr>
      </w:pPr>
    </w:p>
    <w:sectPr w:rsidR="00EA53E6" w:rsidRPr="00EA53E6" w:rsidSect="00C617CE">
      <w:footerReference w:type="default" r:id="rId12"/>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8A" w:rsidRDefault="00F01A8A" w:rsidP="006C6BDE">
      <w:r>
        <w:separator/>
      </w:r>
    </w:p>
  </w:endnote>
  <w:endnote w:type="continuationSeparator" w:id="0">
    <w:p w:rsidR="00F01A8A" w:rsidRDefault="00F01A8A" w:rsidP="006C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23084"/>
      <w:docPartObj>
        <w:docPartGallery w:val="Page Numbers (Bottom of Page)"/>
        <w:docPartUnique/>
      </w:docPartObj>
    </w:sdtPr>
    <w:sdtEndPr/>
    <w:sdtContent>
      <w:p w:rsidR="006C6BDE" w:rsidRDefault="002F0EA5">
        <w:pPr>
          <w:pStyle w:val="Fuzeile"/>
          <w:jc w:val="right"/>
        </w:pPr>
        <w:r w:rsidRPr="006C6BDE">
          <w:rPr>
            <w:sz w:val="20"/>
            <w:szCs w:val="20"/>
          </w:rPr>
          <w:fldChar w:fldCharType="begin"/>
        </w:r>
        <w:r w:rsidR="006C6BDE" w:rsidRPr="006C6BDE">
          <w:rPr>
            <w:sz w:val="20"/>
            <w:szCs w:val="20"/>
          </w:rPr>
          <w:instrText xml:space="preserve"> PAGE   \* MERGEFORMAT </w:instrText>
        </w:r>
        <w:r w:rsidRPr="006C6BDE">
          <w:rPr>
            <w:sz w:val="20"/>
            <w:szCs w:val="20"/>
          </w:rPr>
          <w:fldChar w:fldCharType="separate"/>
        </w:r>
        <w:r w:rsidR="004D62B1">
          <w:rPr>
            <w:noProof/>
            <w:sz w:val="20"/>
            <w:szCs w:val="20"/>
          </w:rPr>
          <w:t>4</w:t>
        </w:r>
        <w:r w:rsidRPr="006C6BDE">
          <w:rPr>
            <w:sz w:val="20"/>
            <w:szCs w:val="20"/>
          </w:rPr>
          <w:fldChar w:fldCharType="end"/>
        </w:r>
      </w:p>
    </w:sdtContent>
  </w:sdt>
  <w:p w:rsidR="006C6BDE" w:rsidRDefault="006C6B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8A" w:rsidRDefault="00F01A8A" w:rsidP="006C6BDE">
      <w:r>
        <w:separator/>
      </w:r>
    </w:p>
  </w:footnote>
  <w:footnote w:type="continuationSeparator" w:id="0">
    <w:p w:rsidR="00F01A8A" w:rsidRDefault="00F01A8A" w:rsidP="006C6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E7D92"/>
    <w:multiLevelType w:val="hybridMultilevel"/>
    <w:tmpl w:val="4A32D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E6"/>
    <w:rsid w:val="00053A73"/>
    <w:rsid w:val="00077CEE"/>
    <w:rsid w:val="001017FA"/>
    <w:rsid w:val="00101EF4"/>
    <w:rsid w:val="0011257A"/>
    <w:rsid w:val="00121D5A"/>
    <w:rsid w:val="0017687D"/>
    <w:rsid w:val="001B4DC7"/>
    <w:rsid w:val="001C6594"/>
    <w:rsid w:val="001D1575"/>
    <w:rsid w:val="001E57A6"/>
    <w:rsid w:val="002435F9"/>
    <w:rsid w:val="002B25A7"/>
    <w:rsid w:val="002C586A"/>
    <w:rsid w:val="002F0EA5"/>
    <w:rsid w:val="00337D7C"/>
    <w:rsid w:val="003E5980"/>
    <w:rsid w:val="00463768"/>
    <w:rsid w:val="004C0A40"/>
    <w:rsid w:val="004D4950"/>
    <w:rsid w:val="004D62B1"/>
    <w:rsid w:val="00554A60"/>
    <w:rsid w:val="005971F5"/>
    <w:rsid w:val="006165B7"/>
    <w:rsid w:val="00631374"/>
    <w:rsid w:val="00646B91"/>
    <w:rsid w:val="00647ED0"/>
    <w:rsid w:val="0065707F"/>
    <w:rsid w:val="006767CF"/>
    <w:rsid w:val="006C6BDE"/>
    <w:rsid w:val="006E414E"/>
    <w:rsid w:val="007218FA"/>
    <w:rsid w:val="00742C40"/>
    <w:rsid w:val="007B0FCB"/>
    <w:rsid w:val="00815566"/>
    <w:rsid w:val="008421BA"/>
    <w:rsid w:val="008A0EF2"/>
    <w:rsid w:val="008A1A01"/>
    <w:rsid w:val="00933964"/>
    <w:rsid w:val="00935502"/>
    <w:rsid w:val="009517C3"/>
    <w:rsid w:val="009631F9"/>
    <w:rsid w:val="00993DD6"/>
    <w:rsid w:val="00A25C6D"/>
    <w:rsid w:val="00A32724"/>
    <w:rsid w:val="00A77CCD"/>
    <w:rsid w:val="00A814DD"/>
    <w:rsid w:val="00A935BB"/>
    <w:rsid w:val="00AE66B3"/>
    <w:rsid w:val="00AE7A1F"/>
    <w:rsid w:val="00B24E4E"/>
    <w:rsid w:val="00B3468E"/>
    <w:rsid w:val="00B529FE"/>
    <w:rsid w:val="00B874DA"/>
    <w:rsid w:val="00BC371A"/>
    <w:rsid w:val="00C21D56"/>
    <w:rsid w:val="00C617CE"/>
    <w:rsid w:val="00C77AFB"/>
    <w:rsid w:val="00CA3A6D"/>
    <w:rsid w:val="00CD27DB"/>
    <w:rsid w:val="00CE3945"/>
    <w:rsid w:val="00CF039A"/>
    <w:rsid w:val="00E24A78"/>
    <w:rsid w:val="00E57758"/>
    <w:rsid w:val="00E77E5E"/>
    <w:rsid w:val="00EA53E6"/>
    <w:rsid w:val="00EA76D4"/>
    <w:rsid w:val="00EC3C73"/>
    <w:rsid w:val="00EC5DFF"/>
    <w:rsid w:val="00EE5223"/>
    <w:rsid w:val="00F01A8A"/>
    <w:rsid w:val="00F82527"/>
    <w:rsid w:val="00F83075"/>
    <w:rsid w:val="00F923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30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586A"/>
    <w:pPr>
      <w:ind w:left="720"/>
      <w:contextualSpacing/>
    </w:pPr>
  </w:style>
  <w:style w:type="paragraph" w:styleId="Sprechblasentext">
    <w:name w:val="Balloon Text"/>
    <w:basedOn w:val="Standard"/>
    <w:link w:val="SprechblasentextZchn"/>
    <w:uiPriority w:val="99"/>
    <w:semiHidden/>
    <w:unhideWhenUsed/>
    <w:rsid w:val="002C58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86A"/>
    <w:rPr>
      <w:rFonts w:ascii="Tahoma" w:hAnsi="Tahoma" w:cs="Tahoma"/>
      <w:sz w:val="16"/>
      <w:szCs w:val="16"/>
    </w:rPr>
  </w:style>
  <w:style w:type="paragraph" w:styleId="Kopfzeile">
    <w:name w:val="header"/>
    <w:basedOn w:val="Standard"/>
    <w:link w:val="KopfzeileZchn"/>
    <w:uiPriority w:val="99"/>
    <w:semiHidden/>
    <w:unhideWhenUsed/>
    <w:rsid w:val="006C6BDE"/>
    <w:pPr>
      <w:tabs>
        <w:tab w:val="center" w:pos="4536"/>
        <w:tab w:val="right" w:pos="9072"/>
      </w:tabs>
    </w:pPr>
  </w:style>
  <w:style w:type="character" w:customStyle="1" w:styleId="KopfzeileZchn">
    <w:name w:val="Kopfzeile Zchn"/>
    <w:basedOn w:val="Absatz-Standardschriftart"/>
    <w:link w:val="Kopfzeile"/>
    <w:uiPriority w:val="99"/>
    <w:semiHidden/>
    <w:rsid w:val="006C6BDE"/>
  </w:style>
  <w:style w:type="paragraph" w:styleId="Fuzeile">
    <w:name w:val="footer"/>
    <w:basedOn w:val="Standard"/>
    <w:link w:val="FuzeileZchn"/>
    <w:uiPriority w:val="99"/>
    <w:unhideWhenUsed/>
    <w:rsid w:val="006C6BDE"/>
    <w:pPr>
      <w:tabs>
        <w:tab w:val="center" w:pos="4536"/>
        <w:tab w:val="right" w:pos="9072"/>
      </w:tabs>
    </w:pPr>
  </w:style>
  <w:style w:type="character" w:customStyle="1" w:styleId="FuzeileZchn">
    <w:name w:val="Fußzeile Zchn"/>
    <w:basedOn w:val="Absatz-Standardschriftart"/>
    <w:link w:val="Fuzeile"/>
    <w:uiPriority w:val="99"/>
    <w:rsid w:val="006C6BDE"/>
  </w:style>
  <w:style w:type="table" w:styleId="Tabellenraster">
    <w:name w:val="Table Grid"/>
    <w:basedOn w:val="NormaleTabelle"/>
    <w:uiPriority w:val="59"/>
    <w:rsid w:val="00C2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30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586A"/>
    <w:pPr>
      <w:ind w:left="720"/>
      <w:contextualSpacing/>
    </w:pPr>
  </w:style>
  <w:style w:type="paragraph" w:styleId="Sprechblasentext">
    <w:name w:val="Balloon Text"/>
    <w:basedOn w:val="Standard"/>
    <w:link w:val="SprechblasentextZchn"/>
    <w:uiPriority w:val="99"/>
    <w:semiHidden/>
    <w:unhideWhenUsed/>
    <w:rsid w:val="002C58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86A"/>
    <w:rPr>
      <w:rFonts w:ascii="Tahoma" w:hAnsi="Tahoma" w:cs="Tahoma"/>
      <w:sz w:val="16"/>
      <w:szCs w:val="16"/>
    </w:rPr>
  </w:style>
  <w:style w:type="paragraph" w:styleId="Kopfzeile">
    <w:name w:val="header"/>
    <w:basedOn w:val="Standard"/>
    <w:link w:val="KopfzeileZchn"/>
    <w:uiPriority w:val="99"/>
    <w:semiHidden/>
    <w:unhideWhenUsed/>
    <w:rsid w:val="006C6BDE"/>
    <w:pPr>
      <w:tabs>
        <w:tab w:val="center" w:pos="4536"/>
        <w:tab w:val="right" w:pos="9072"/>
      </w:tabs>
    </w:pPr>
  </w:style>
  <w:style w:type="character" w:customStyle="1" w:styleId="KopfzeileZchn">
    <w:name w:val="Kopfzeile Zchn"/>
    <w:basedOn w:val="Absatz-Standardschriftart"/>
    <w:link w:val="Kopfzeile"/>
    <w:uiPriority w:val="99"/>
    <w:semiHidden/>
    <w:rsid w:val="006C6BDE"/>
  </w:style>
  <w:style w:type="paragraph" w:styleId="Fuzeile">
    <w:name w:val="footer"/>
    <w:basedOn w:val="Standard"/>
    <w:link w:val="FuzeileZchn"/>
    <w:uiPriority w:val="99"/>
    <w:unhideWhenUsed/>
    <w:rsid w:val="006C6BDE"/>
    <w:pPr>
      <w:tabs>
        <w:tab w:val="center" w:pos="4536"/>
        <w:tab w:val="right" w:pos="9072"/>
      </w:tabs>
    </w:pPr>
  </w:style>
  <w:style w:type="character" w:customStyle="1" w:styleId="FuzeileZchn">
    <w:name w:val="Fußzeile Zchn"/>
    <w:basedOn w:val="Absatz-Standardschriftart"/>
    <w:link w:val="Fuzeile"/>
    <w:uiPriority w:val="99"/>
    <w:rsid w:val="006C6BDE"/>
  </w:style>
  <w:style w:type="table" w:styleId="Tabellenraster">
    <w:name w:val="Table Grid"/>
    <w:basedOn w:val="NormaleTabelle"/>
    <w:uiPriority w:val="59"/>
    <w:rsid w:val="00C2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5185-FBCD-41DD-A301-41A8E95B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6649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lamp</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Berthet</dc:creator>
  <cp:lastModifiedBy>Mohn, Joachim</cp:lastModifiedBy>
  <cp:revision>25</cp:revision>
  <dcterms:created xsi:type="dcterms:W3CDTF">2014-10-03T09:07:00Z</dcterms:created>
  <dcterms:modified xsi:type="dcterms:W3CDTF">2014-10-21T10:24:00Z</dcterms:modified>
</cp:coreProperties>
</file>