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CE" w:rsidRPr="00105FFF" w:rsidRDefault="006C6BDE" w:rsidP="008C560E">
      <w:pPr>
        <w:spacing w:line="276" w:lineRule="auto"/>
        <w:jc w:val="left"/>
        <w:rPr>
          <w:rFonts w:ascii="Arial" w:hAnsi="Arial" w:cs="Arial"/>
          <w:b/>
          <w:color w:val="215868" w:themeColor="accent5" w:themeShade="80"/>
          <w:sz w:val="32"/>
          <w:szCs w:val="32"/>
          <w:lang w:val="en-GB"/>
        </w:rPr>
      </w:pPr>
      <w:r w:rsidRPr="00105FFF">
        <w:rPr>
          <w:rFonts w:ascii="Arial" w:hAnsi="Arial" w:cs="Arial"/>
          <w:b/>
          <w:color w:val="215868" w:themeColor="accent5" w:themeShade="80"/>
          <w:sz w:val="32"/>
          <w:szCs w:val="32"/>
          <w:lang w:val="en-GB"/>
        </w:rPr>
        <w:t xml:space="preserve">   </w:t>
      </w:r>
    </w:p>
    <w:p w:rsidR="009B23D4" w:rsidRPr="00105FFF" w:rsidRDefault="00F82527" w:rsidP="008C560E">
      <w:pPr>
        <w:shd w:val="clear" w:color="auto" w:fill="DBE5F1" w:themeFill="accent1" w:themeFillTint="33"/>
        <w:spacing w:line="276" w:lineRule="auto"/>
        <w:rPr>
          <w:rFonts w:ascii="Arial" w:hAnsi="Arial" w:cs="Arial"/>
          <w:b/>
          <w:color w:val="215868" w:themeColor="accent5" w:themeShade="80"/>
          <w:sz w:val="32"/>
          <w:szCs w:val="32"/>
          <w:lang w:val="en-GB"/>
        </w:rPr>
      </w:pPr>
      <w:r w:rsidRPr="00105FFF">
        <w:rPr>
          <w:rFonts w:ascii="Arial" w:hAnsi="Arial" w:cs="Arial"/>
          <w:b/>
          <w:noProof/>
          <w:color w:val="215868" w:themeColor="accent5" w:themeShade="80"/>
          <w:sz w:val="32"/>
          <w:szCs w:val="32"/>
          <w:lang w:val="en-GB" w:eastAsia="de-DE"/>
        </w:rPr>
        <w:drawing>
          <wp:inline distT="0" distB="0" distL="0" distR="0">
            <wp:extent cx="2495550" cy="952500"/>
            <wp:effectExtent l="0" t="0" r="0" b="0"/>
            <wp:docPr id="1" name="Picture 0" descr="ingoslogo_v2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a_small.png"/>
                    <pic:cNvPicPr/>
                  </pic:nvPicPr>
                  <pic:blipFill>
                    <a:blip r:embed="rId8" cstate="print"/>
                    <a:stretch>
                      <a:fillRect/>
                    </a:stretch>
                  </pic:blipFill>
                  <pic:spPr>
                    <a:xfrm>
                      <a:off x="0" y="0"/>
                      <a:ext cx="2495550" cy="952500"/>
                    </a:xfrm>
                    <a:prstGeom prst="rect">
                      <a:avLst/>
                    </a:prstGeom>
                  </pic:spPr>
                </pic:pic>
              </a:graphicData>
            </a:graphic>
          </wp:inline>
        </w:drawing>
      </w:r>
      <w:r w:rsidRPr="00105FFF">
        <w:rPr>
          <w:rFonts w:ascii="Arial" w:hAnsi="Arial" w:cs="Arial"/>
          <w:b/>
          <w:color w:val="76923C" w:themeColor="accent3" w:themeShade="BF"/>
          <w:sz w:val="32"/>
          <w:szCs w:val="32"/>
          <w:lang w:val="en-GB"/>
        </w:rPr>
        <w:t>InGOS</w:t>
      </w:r>
      <w:r w:rsidR="00AE7A1F" w:rsidRPr="00105FFF">
        <w:rPr>
          <w:rFonts w:ascii="Arial" w:hAnsi="Arial" w:cs="Arial"/>
          <w:b/>
          <w:color w:val="76923C" w:themeColor="accent3" w:themeShade="BF"/>
          <w:sz w:val="32"/>
          <w:szCs w:val="32"/>
          <w:lang w:val="en-GB"/>
        </w:rPr>
        <w:t xml:space="preserve"> </w:t>
      </w:r>
      <w:r w:rsidR="00EA53E6" w:rsidRPr="00105FFF">
        <w:rPr>
          <w:rFonts w:ascii="Arial" w:hAnsi="Arial" w:cs="Arial"/>
          <w:b/>
          <w:color w:val="76923C" w:themeColor="accent3" w:themeShade="BF"/>
          <w:sz w:val="32"/>
          <w:szCs w:val="32"/>
          <w:lang w:val="en-GB"/>
        </w:rPr>
        <w:t>TNA</w:t>
      </w:r>
      <w:r w:rsidR="008A0EF2" w:rsidRPr="00105FFF">
        <w:rPr>
          <w:rFonts w:ascii="Arial" w:hAnsi="Arial" w:cs="Arial"/>
          <w:b/>
          <w:color w:val="76923C" w:themeColor="accent3" w:themeShade="BF"/>
          <w:sz w:val="32"/>
          <w:szCs w:val="32"/>
          <w:lang w:val="en-GB"/>
        </w:rPr>
        <w:t xml:space="preserve"> 1-2</w:t>
      </w:r>
      <w:r w:rsidR="00EA53E6" w:rsidRPr="00105FFF">
        <w:rPr>
          <w:rFonts w:ascii="Arial" w:hAnsi="Arial" w:cs="Arial"/>
          <w:b/>
          <w:color w:val="76923C" w:themeColor="accent3" w:themeShade="BF"/>
          <w:sz w:val="32"/>
          <w:szCs w:val="32"/>
          <w:lang w:val="en-GB"/>
        </w:rPr>
        <w:t xml:space="preserve"> Activity Report</w:t>
      </w:r>
    </w:p>
    <w:p w:rsidR="00AE7A1F" w:rsidRPr="00105FFF" w:rsidRDefault="00AE7A1F" w:rsidP="008C560E">
      <w:pPr>
        <w:spacing w:line="276" w:lineRule="auto"/>
        <w:rPr>
          <w:rFonts w:ascii="Arial" w:hAnsi="Arial" w:cs="Arial"/>
          <w:b/>
          <w:sz w:val="36"/>
          <w:szCs w:val="36"/>
          <w:lang w:val="en-GB"/>
        </w:rPr>
      </w:pPr>
    </w:p>
    <w:p w:rsidR="008A0EF2" w:rsidRPr="00105FFF" w:rsidRDefault="0036665D" w:rsidP="008C560E">
      <w:pPr>
        <w:spacing w:after="120" w:line="276" w:lineRule="auto"/>
        <w:rPr>
          <w:rFonts w:ascii="Arial" w:hAnsi="Arial" w:cs="Arial"/>
          <w:b/>
          <w:sz w:val="24"/>
          <w:szCs w:val="24"/>
          <w:lang w:val="en-GB"/>
        </w:rPr>
      </w:pPr>
      <w:r w:rsidRPr="00105FFF">
        <w:rPr>
          <w:rFonts w:ascii="Arial" w:hAnsi="Arial" w:cs="Arial"/>
          <w:b/>
          <w:sz w:val="24"/>
          <w:szCs w:val="24"/>
          <w:lang w:val="en-GB"/>
        </w:rPr>
        <w:t>Soil N</w:t>
      </w:r>
      <w:r w:rsidRPr="00105FFF">
        <w:rPr>
          <w:rFonts w:ascii="Arial" w:hAnsi="Arial" w:cs="Arial"/>
          <w:b/>
          <w:sz w:val="24"/>
          <w:szCs w:val="24"/>
          <w:vertAlign w:val="subscript"/>
          <w:lang w:val="en-GB"/>
        </w:rPr>
        <w:t>2</w:t>
      </w:r>
      <w:r w:rsidRPr="00105FFF">
        <w:rPr>
          <w:rFonts w:ascii="Arial" w:hAnsi="Arial" w:cs="Arial"/>
          <w:b/>
          <w:sz w:val="24"/>
          <w:szCs w:val="24"/>
          <w:lang w:val="en-GB"/>
        </w:rPr>
        <w:t>O chamber inter-comparison campaign 2014</w:t>
      </w:r>
    </w:p>
    <w:p w:rsidR="008A0EF2" w:rsidRPr="00105FFF" w:rsidRDefault="00DA3876" w:rsidP="0072243F">
      <w:pPr>
        <w:spacing w:line="276" w:lineRule="auto"/>
        <w:rPr>
          <w:rFonts w:ascii="Arial" w:hAnsi="Arial" w:cs="Arial"/>
          <w:b/>
          <w:sz w:val="24"/>
          <w:szCs w:val="24"/>
          <w:lang w:val="en-GB"/>
        </w:rPr>
      </w:pPr>
      <w:r w:rsidRPr="00105FFF">
        <w:rPr>
          <w:rFonts w:ascii="Arial" w:hAnsi="Arial" w:cs="Arial"/>
          <w:b/>
          <w:sz w:val="24"/>
          <w:szCs w:val="24"/>
          <w:lang w:val="en-GB"/>
        </w:rPr>
        <w:t xml:space="preserve">Project leader: </w:t>
      </w:r>
      <w:r w:rsidR="0072243F" w:rsidRPr="00105FFF">
        <w:rPr>
          <w:rFonts w:ascii="Arial" w:hAnsi="Arial" w:cs="Arial"/>
          <w:b/>
          <w:sz w:val="24"/>
          <w:szCs w:val="24"/>
          <w:lang w:val="en-GB"/>
        </w:rPr>
        <w:t>Mari Pihlatie and</w:t>
      </w:r>
      <w:r w:rsidR="0072243F" w:rsidRPr="00105FFF">
        <w:rPr>
          <w:lang w:val="en-GB"/>
        </w:rPr>
        <w:t xml:space="preserve"> </w:t>
      </w:r>
      <w:r w:rsidR="0072243F" w:rsidRPr="00105FFF">
        <w:rPr>
          <w:rFonts w:ascii="Arial" w:hAnsi="Arial" w:cs="Arial"/>
          <w:b/>
          <w:sz w:val="24"/>
          <w:szCs w:val="24"/>
          <w:lang w:val="en-GB"/>
        </w:rPr>
        <w:t>Janne F. Korhonen</w:t>
      </w:r>
    </w:p>
    <w:p w:rsidR="00B42139" w:rsidRPr="00105FFF" w:rsidRDefault="00B42139" w:rsidP="0072243F">
      <w:pPr>
        <w:spacing w:line="276" w:lineRule="auto"/>
        <w:rPr>
          <w:rFonts w:ascii="Arial" w:hAnsi="Arial" w:cs="Arial"/>
          <w:b/>
          <w:sz w:val="24"/>
          <w:szCs w:val="24"/>
          <w:lang w:val="en-GB"/>
        </w:rPr>
      </w:pPr>
    </w:p>
    <w:p w:rsidR="0072243F" w:rsidRPr="00105FFF" w:rsidRDefault="0036665D" w:rsidP="0072243F">
      <w:pPr>
        <w:spacing w:line="276" w:lineRule="auto"/>
        <w:rPr>
          <w:rFonts w:ascii="Arial" w:hAnsi="Arial" w:cs="Arial"/>
          <w:b/>
          <w:sz w:val="24"/>
          <w:szCs w:val="24"/>
          <w:lang w:val="en-GB"/>
        </w:rPr>
      </w:pPr>
      <w:r w:rsidRPr="00105FFF">
        <w:rPr>
          <w:rFonts w:ascii="Arial" w:hAnsi="Arial" w:cs="Arial"/>
          <w:b/>
          <w:sz w:val="24"/>
          <w:szCs w:val="24"/>
          <w:lang w:val="en-GB"/>
        </w:rPr>
        <w:t>Application nr. 796</w:t>
      </w:r>
    </w:p>
    <w:p w:rsidR="0036665D" w:rsidRPr="00105FFF" w:rsidRDefault="0036665D" w:rsidP="008C560E">
      <w:pPr>
        <w:spacing w:line="276" w:lineRule="auto"/>
        <w:rPr>
          <w:rFonts w:ascii="Arial" w:hAnsi="Arial" w:cs="Arial"/>
          <w:b/>
          <w:sz w:val="24"/>
          <w:szCs w:val="24"/>
          <w:lang w:val="en-GB"/>
        </w:rPr>
      </w:pPr>
    </w:p>
    <w:p w:rsidR="00EA53E6" w:rsidRPr="00105FFF" w:rsidRDefault="00EA53E6" w:rsidP="008C560E">
      <w:pPr>
        <w:spacing w:line="276" w:lineRule="auto"/>
        <w:jc w:val="left"/>
        <w:rPr>
          <w:rFonts w:ascii="Arial" w:hAnsi="Arial" w:cs="Arial"/>
          <w:b/>
          <w:lang w:val="en-GB"/>
        </w:rPr>
      </w:pPr>
      <w:r w:rsidRPr="00105FFF">
        <w:rPr>
          <w:rFonts w:ascii="Arial" w:hAnsi="Arial" w:cs="Arial"/>
          <w:b/>
          <w:lang w:val="en-GB"/>
        </w:rPr>
        <w:t>Introduction and motivation</w:t>
      </w:r>
    </w:p>
    <w:p w:rsidR="007639D1" w:rsidRPr="00105FFF" w:rsidRDefault="007639D1" w:rsidP="008C560E">
      <w:pPr>
        <w:spacing w:line="276" w:lineRule="auto"/>
        <w:jc w:val="left"/>
        <w:rPr>
          <w:rFonts w:ascii="Arial" w:hAnsi="Arial" w:cs="Arial"/>
          <w:b/>
          <w:lang w:val="en-GB"/>
        </w:rPr>
      </w:pPr>
    </w:p>
    <w:p w:rsidR="008C560E" w:rsidRPr="00105FFF" w:rsidRDefault="003E091A" w:rsidP="0046738D">
      <w:pPr>
        <w:spacing w:line="276" w:lineRule="auto"/>
        <w:ind w:firstLine="708"/>
        <w:jc w:val="both"/>
        <w:rPr>
          <w:rFonts w:ascii="Arial" w:hAnsi="Arial" w:cs="Arial"/>
          <w:lang w:val="en-GB"/>
        </w:rPr>
      </w:pPr>
      <w:r w:rsidRPr="00105FFF">
        <w:rPr>
          <w:rFonts w:ascii="Arial" w:hAnsi="Arial" w:cs="Arial"/>
          <w:lang w:val="en-GB"/>
        </w:rPr>
        <w:t>The applicant</w:t>
      </w:r>
      <w:r w:rsidR="0072243F" w:rsidRPr="00105FFF">
        <w:rPr>
          <w:rFonts w:ascii="Arial" w:hAnsi="Arial" w:cs="Arial"/>
          <w:lang w:val="en-GB"/>
        </w:rPr>
        <w:t xml:space="preserve"> Carolyn-Monika Görres</w:t>
      </w:r>
      <w:r w:rsidRPr="00105FFF">
        <w:rPr>
          <w:rFonts w:ascii="Arial" w:hAnsi="Arial" w:cs="Arial"/>
          <w:lang w:val="en-GB"/>
        </w:rPr>
        <w:t xml:space="preserve"> participated in a lab-based</w:t>
      </w:r>
      <w:r w:rsidR="00F931A2" w:rsidRPr="00105FFF">
        <w:rPr>
          <w:rFonts w:ascii="Arial" w:hAnsi="Arial" w:cs="Arial"/>
          <w:lang w:val="en-GB"/>
        </w:rPr>
        <w:t xml:space="preserve"> inter-comparison campaign of soil N</w:t>
      </w:r>
      <w:r w:rsidR="00F931A2" w:rsidRPr="00105FFF">
        <w:rPr>
          <w:rFonts w:ascii="Arial" w:hAnsi="Arial" w:cs="Arial"/>
          <w:vertAlign w:val="subscript"/>
          <w:lang w:val="en-GB"/>
        </w:rPr>
        <w:t>2</w:t>
      </w:r>
      <w:r w:rsidR="00F931A2" w:rsidRPr="00105FFF">
        <w:rPr>
          <w:rFonts w:ascii="Arial" w:hAnsi="Arial" w:cs="Arial"/>
          <w:lang w:val="en-GB"/>
        </w:rPr>
        <w:t>O chamber systems</w:t>
      </w:r>
      <w:r w:rsidR="00182188" w:rsidRPr="00105FFF">
        <w:rPr>
          <w:rFonts w:ascii="Arial" w:hAnsi="Arial" w:cs="Arial"/>
          <w:lang w:val="en-GB"/>
        </w:rPr>
        <w:t xml:space="preserve"> organized by Mari Pihlatie and Janne F. Korhonen from the University of Helsinki (Finland)</w:t>
      </w:r>
      <w:r w:rsidR="00F931A2" w:rsidRPr="00105FFF">
        <w:rPr>
          <w:rFonts w:ascii="Arial" w:hAnsi="Arial" w:cs="Arial"/>
          <w:lang w:val="en-GB"/>
        </w:rPr>
        <w:t xml:space="preserve">. </w:t>
      </w:r>
      <w:r w:rsidR="006339E8" w:rsidRPr="00105FFF">
        <w:rPr>
          <w:rFonts w:ascii="Arial" w:hAnsi="Arial" w:cs="Arial"/>
          <w:lang w:val="en-GB"/>
        </w:rPr>
        <w:t>Soil chamber techniques are widely used for estimating soil trace gas fluxes, e.g. N</w:t>
      </w:r>
      <w:r w:rsidR="006339E8" w:rsidRPr="00105FFF">
        <w:rPr>
          <w:rFonts w:ascii="Arial" w:hAnsi="Arial" w:cs="Arial"/>
          <w:vertAlign w:val="subscript"/>
          <w:lang w:val="en-GB"/>
        </w:rPr>
        <w:t>2</w:t>
      </w:r>
      <w:r w:rsidR="006339E8" w:rsidRPr="00105FFF">
        <w:rPr>
          <w:rFonts w:ascii="Arial" w:hAnsi="Arial" w:cs="Arial"/>
          <w:lang w:val="en-GB"/>
        </w:rPr>
        <w:t>O fluxes. Together with the eddy covariance technique, they provide the best way to quantify trace gas fluxes from ecosystems and to study the underlying processes. However as with any other measurement technique, flux measurements by chamber techniques are associated with systematic and random uncertainties (e.g. Wang et al. 2013). These have to be properly quantified and accounted for to provide reliable trace gas flux estimates. The major sources of flux uncertainty are related to systematic errors of the single chamber measurement, as well as errors associated with the large spatial variability of the soil source/sink and low spatial coverage of the measurements.</w:t>
      </w:r>
    </w:p>
    <w:p w:rsidR="006339E8" w:rsidRPr="00105FFF" w:rsidRDefault="006339E8" w:rsidP="008C560E">
      <w:pPr>
        <w:autoSpaceDE w:val="0"/>
        <w:autoSpaceDN w:val="0"/>
        <w:adjustRightInd w:val="0"/>
        <w:spacing w:line="276" w:lineRule="auto"/>
        <w:ind w:firstLine="708"/>
        <w:jc w:val="both"/>
        <w:rPr>
          <w:rFonts w:ascii="Arial" w:hAnsi="Arial" w:cs="Arial"/>
          <w:lang w:val="en-GB"/>
        </w:rPr>
      </w:pPr>
      <w:r w:rsidRPr="00105FFF">
        <w:rPr>
          <w:rFonts w:ascii="Arial" w:hAnsi="Arial" w:cs="Arial"/>
          <w:lang w:val="en-GB"/>
        </w:rPr>
        <w:t xml:space="preserve">The applicant </w:t>
      </w:r>
      <w:r w:rsidR="00926010" w:rsidRPr="00105FFF">
        <w:rPr>
          <w:rFonts w:ascii="Arial" w:hAnsi="Arial" w:cs="Arial"/>
          <w:lang w:val="en-GB"/>
        </w:rPr>
        <w:t>herself has employed</w:t>
      </w:r>
      <w:r w:rsidRPr="00105FFF">
        <w:rPr>
          <w:rFonts w:ascii="Arial" w:hAnsi="Arial" w:cs="Arial"/>
          <w:lang w:val="en-GB"/>
        </w:rPr>
        <w:t xml:space="preserve"> manual and automated </w:t>
      </w:r>
      <w:r w:rsidR="00926010" w:rsidRPr="00105FFF">
        <w:rPr>
          <w:rFonts w:ascii="Arial" w:hAnsi="Arial" w:cs="Arial"/>
          <w:lang w:val="en-GB"/>
        </w:rPr>
        <w:t xml:space="preserve">soil </w:t>
      </w:r>
      <w:r w:rsidRPr="00105FFF">
        <w:rPr>
          <w:rFonts w:ascii="Arial" w:hAnsi="Arial" w:cs="Arial"/>
          <w:lang w:val="en-GB"/>
        </w:rPr>
        <w:t>chamber techniques to estimate CO</w:t>
      </w:r>
      <w:r w:rsidRPr="00105FFF">
        <w:rPr>
          <w:rFonts w:ascii="Arial" w:hAnsi="Arial" w:cs="Arial"/>
          <w:vertAlign w:val="subscript"/>
          <w:lang w:val="en-GB"/>
        </w:rPr>
        <w:t>2</w:t>
      </w:r>
      <w:r w:rsidRPr="00105FFF">
        <w:rPr>
          <w:rFonts w:ascii="Arial" w:hAnsi="Arial" w:cs="Arial"/>
          <w:lang w:val="en-GB"/>
        </w:rPr>
        <w:t>, CH</w:t>
      </w:r>
      <w:r w:rsidRPr="00105FFF">
        <w:rPr>
          <w:rFonts w:ascii="Arial" w:hAnsi="Arial" w:cs="Arial"/>
          <w:vertAlign w:val="subscript"/>
          <w:lang w:val="en-GB"/>
        </w:rPr>
        <w:t>4</w:t>
      </w:r>
      <w:r w:rsidRPr="00105FFF">
        <w:rPr>
          <w:rFonts w:ascii="Arial" w:hAnsi="Arial" w:cs="Arial"/>
          <w:lang w:val="en-GB"/>
        </w:rPr>
        <w:t xml:space="preserve"> and N</w:t>
      </w:r>
      <w:r w:rsidRPr="00105FFF">
        <w:rPr>
          <w:rFonts w:ascii="Arial" w:hAnsi="Arial" w:cs="Arial"/>
          <w:vertAlign w:val="subscript"/>
          <w:lang w:val="en-GB"/>
        </w:rPr>
        <w:t>2</w:t>
      </w:r>
      <w:r w:rsidRPr="00105FFF">
        <w:rPr>
          <w:rFonts w:ascii="Arial" w:hAnsi="Arial" w:cs="Arial"/>
          <w:lang w:val="en-GB"/>
        </w:rPr>
        <w:t>O fluxes from different ecosystems. Besides studying the processes underlying soil greenhouse gas fluxes, the applicant has also experience in estimating flux uncertainties related to systematic and random errors (Görres et al. 2014). The applicant</w:t>
      </w:r>
      <w:r w:rsidR="005A6A51" w:rsidRPr="00105FFF">
        <w:rPr>
          <w:rFonts w:ascii="Arial" w:hAnsi="Arial" w:cs="Arial"/>
          <w:lang w:val="en-GB"/>
        </w:rPr>
        <w:t xml:space="preserve">’s motivation to join </w:t>
      </w:r>
      <w:r w:rsidR="003E091A" w:rsidRPr="00105FFF">
        <w:rPr>
          <w:rFonts w:ascii="Arial" w:hAnsi="Arial" w:cs="Arial"/>
          <w:lang w:val="en-GB"/>
        </w:rPr>
        <w:t xml:space="preserve">this particular chamber inter-comparison campaign was the circumstance that at the same time, she was comparing </w:t>
      </w:r>
      <w:r w:rsidRPr="00105FFF">
        <w:rPr>
          <w:rFonts w:ascii="Arial" w:hAnsi="Arial" w:cs="Arial"/>
          <w:lang w:val="en-GB"/>
        </w:rPr>
        <w:t xml:space="preserve"> the performance of a custom-made automated chamber system for simultaneous measurements of soil CO</w:t>
      </w:r>
      <w:r w:rsidRPr="00105FFF">
        <w:rPr>
          <w:rFonts w:ascii="Arial" w:hAnsi="Arial" w:cs="Arial"/>
          <w:vertAlign w:val="subscript"/>
          <w:lang w:val="en-GB"/>
        </w:rPr>
        <w:t>2</w:t>
      </w:r>
      <w:r w:rsidRPr="00105FFF">
        <w:rPr>
          <w:rFonts w:ascii="Arial" w:hAnsi="Arial" w:cs="Arial"/>
          <w:lang w:val="en-GB"/>
        </w:rPr>
        <w:t>, CH</w:t>
      </w:r>
      <w:r w:rsidRPr="00105FFF">
        <w:rPr>
          <w:rFonts w:ascii="Arial" w:hAnsi="Arial" w:cs="Arial"/>
          <w:vertAlign w:val="subscript"/>
          <w:lang w:val="en-GB"/>
        </w:rPr>
        <w:t>4</w:t>
      </w:r>
      <w:r w:rsidRPr="00105FFF">
        <w:rPr>
          <w:rFonts w:ascii="Arial" w:hAnsi="Arial" w:cs="Arial"/>
          <w:lang w:val="en-GB"/>
        </w:rPr>
        <w:t xml:space="preserve"> and N</w:t>
      </w:r>
      <w:r w:rsidRPr="00105FFF">
        <w:rPr>
          <w:rFonts w:ascii="Arial" w:hAnsi="Arial" w:cs="Arial"/>
          <w:vertAlign w:val="subscript"/>
          <w:lang w:val="en-GB"/>
        </w:rPr>
        <w:t>2</w:t>
      </w:r>
      <w:r w:rsidRPr="00105FFF">
        <w:rPr>
          <w:rFonts w:ascii="Arial" w:hAnsi="Arial" w:cs="Arial"/>
          <w:lang w:val="en-GB"/>
        </w:rPr>
        <w:t>O fluxes (AGPS, Umwelt- und Ingenieurtechnik GmbH Dresden, Germany; FGGA and N</w:t>
      </w:r>
      <w:r w:rsidRPr="00105FFF">
        <w:rPr>
          <w:rFonts w:ascii="Arial" w:hAnsi="Arial" w:cs="Arial"/>
          <w:vertAlign w:val="subscript"/>
          <w:lang w:val="en-GB"/>
        </w:rPr>
        <w:t>2</w:t>
      </w:r>
      <w:r w:rsidRPr="00105FFF">
        <w:rPr>
          <w:rFonts w:ascii="Arial" w:hAnsi="Arial" w:cs="Arial"/>
          <w:lang w:val="en-GB"/>
        </w:rPr>
        <w:t>O/CO analyzer, Los Gatos Research, Moutain View, CA, USA) with an off-the-shelf automated chamber system for soil CO</w:t>
      </w:r>
      <w:r w:rsidRPr="00105FFF">
        <w:rPr>
          <w:rFonts w:ascii="Arial" w:hAnsi="Arial" w:cs="Arial"/>
          <w:vertAlign w:val="subscript"/>
          <w:lang w:val="en-GB"/>
        </w:rPr>
        <w:t>2</w:t>
      </w:r>
      <w:r w:rsidRPr="00105FFF">
        <w:rPr>
          <w:rFonts w:ascii="Arial" w:hAnsi="Arial" w:cs="Arial"/>
          <w:lang w:val="en-GB"/>
        </w:rPr>
        <w:t xml:space="preserve"> fluxes (</w:t>
      </w:r>
      <w:r w:rsidRPr="00105FFF">
        <w:rPr>
          <w:rFonts w:ascii="Arial" w:hAnsi="Arial" w:cs="Arial"/>
          <w:color w:val="131413"/>
          <w:lang w:val="en-GB"/>
        </w:rPr>
        <w:t>LI-8100 and LI-8100-104, LI-COR Biosciences, Lincoln, NE, USA) under field conditions. Testing the AGPS under constant laboratory conditions during the soil N</w:t>
      </w:r>
      <w:r w:rsidRPr="00105FFF">
        <w:rPr>
          <w:rFonts w:ascii="Arial" w:hAnsi="Arial" w:cs="Arial"/>
          <w:color w:val="131413"/>
          <w:vertAlign w:val="subscript"/>
          <w:lang w:val="en-GB"/>
        </w:rPr>
        <w:t>2</w:t>
      </w:r>
      <w:r w:rsidRPr="00105FFF">
        <w:rPr>
          <w:rFonts w:ascii="Arial" w:hAnsi="Arial" w:cs="Arial"/>
          <w:color w:val="131413"/>
          <w:lang w:val="en-GB"/>
        </w:rPr>
        <w:t>O chamber inter-comparison campaign perfectly complement</w:t>
      </w:r>
      <w:r w:rsidR="003E091A" w:rsidRPr="00105FFF">
        <w:rPr>
          <w:rFonts w:ascii="Arial" w:hAnsi="Arial" w:cs="Arial"/>
          <w:color w:val="131413"/>
          <w:lang w:val="en-GB"/>
        </w:rPr>
        <w:t>ed</w:t>
      </w:r>
      <w:r w:rsidRPr="00105FFF">
        <w:rPr>
          <w:rFonts w:ascii="Arial" w:hAnsi="Arial" w:cs="Arial"/>
          <w:color w:val="131413"/>
          <w:lang w:val="en-GB"/>
        </w:rPr>
        <w:t xml:space="preserve"> the field tests.</w:t>
      </w:r>
      <w:r w:rsidR="003E091A" w:rsidRPr="00105FFF">
        <w:rPr>
          <w:rFonts w:ascii="Arial" w:hAnsi="Arial" w:cs="Arial"/>
          <w:color w:val="131413"/>
          <w:lang w:val="en-GB"/>
        </w:rPr>
        <w:t xml:space="preserve"> Especially since LI-COR Biosciences participated in the inter-comparison campaign as well to test the LI-8100-104 chamber under laboratory conditions.</w:t>
      </w:r>
    </w:p>
    <w:p w:rsidR="006339E8" w:rsidRPr="00105FFF" w:rsidRDefault="006339E8" w:rsidP="008C560E">
      <w:pPr>
        <w:pStyle w:val="Listenabsatz"/>
        <w:spacing w:line="276" w:lineRule="auto"/>
        <w:ind w:left="360"/>
        <w:jc w:val="both"/>
        <w:rPr>
          <w:b/>
          <w:lang w:val="en-GB"/>
        </w:rPr>
      </w:pPr>
    </w:p>
    <w:p w:rsidR="00AE7A1F" w:rsidRPr="00105FFF" w:rsidRDefault="00EA53E6" w:rsidP="008C560E">
      <w:pPr>
        <w:spacing w:line="276" w:lineRule="auto"/>
        <w:jc w:val="left"/>
        <w:rPr>
          <w:rFonts w:ascii="Arial" w:hAnsi="Arial" w:cs="Arial"/>
          <w:b/>
          <w:lang w:val="en-GB"/>
        </w:rPr>
      </w:pPr>
      <w:r w:rsidRPr="00105FFF">
        <w:rPr>
          <w:rFonts w:ascii="Arial" w:hAnsi="Arial" w:cs="Arial"/>
          <w:b/>
          <w:lang w:val="en-GB"/>
        </w:rPr>
        <w:t xml:space="preserve">Scientific objectives </w:t>
      </w:r>
    </w:p>
    <w:p w:rsidR="007639D1" w:rsidRPr="00105FFF" w:rsidRDefault="007639D1" w:rsidP="008C560E">
      <w:pPr>
        <w:spacing w:line="276" w:lineRule="auto"/>
        <w:jc w:val="left"/>
        <w:rPr>
          <w:rFonts w:ascii="Arial" w:hAnsi="Arial" w:cs="Arial"/>
          <w:b/>
          <w:lang w:val="en-GB"/>
        </w:rPr>
      </w:pPr>
    </w:p>
    <w:p w:rsidR="00207A1D" w:rsidRPr="00105FFF" w:rsidRDefault="00F931A2" w:rsidP="008C560E">
      <w:pPr>
        <w:spacing w:line="276" w:lineRule="auto"/>
        <w:ind w:firstLine="708"/>
        <w:jc w:val="both"/>
        <w:rPr>
          <w:rFonts w:ascii="Arial" w:hAnsi="Arial" w:cs="Arial"/>
          <w:lang w:val="en-GB"/>
        </w:rPr>
      </w:pPr>
      <w:r w:rsidRPr="00105FFF">
        <w:rPr>
          <w:rFonts w:ascii="Arial" w:hAnsi="Arial" w:cs="Arial"/>
          <w:lang w:val="en-GB"/>
        </w:rPr>
        <w:t xml:space="preserve">The main objectives of the inter-comparison campaign </w:t>
      </w:r>
      <w:r w:rsidR="00207A1D" w:rsidRPr="00105FFF">
        <w:rPr>
          <w:rFonts w:ascii="Arial" w:hAnsi="Arial" w:cs="Arial"/>
          <w:lang w:val="en-GB"/>
        </w:rPr>
        <w:t>were</w:t>
      </w:r>
      <w:r w:rsidRPr="00105FFF">
        <w:rPr>
          <w:rFonts w:ascii="Arial" w:hAnsi="Arial" w:cs="Arial"/>
          <w:lang w:val="en-GB"/>
        </w:rPr>
        <w:t xml:space="preserve"> to gain more knowledge on the errors related to N</w:t>
      </w:r>
      <w:r w:rsidRPr="00105FFF">
        <w:rPr>
          <w:rFonts w:ascii="Arial" w:hAnsi="Arial" w:cs="Arial"/>
          <w:vertAlign w:val="subscript"/>
          <w:lang w:val="en-GB"/>
        </w:rPr>
        <w:t>2</w:t>
      </w:r>
      <w:r w:rsidRPr="00105FFF">
        <w:rPr>
          <w:rFonts w:ascii="Arial" w:hAnsi="Arial" w:cs="Arial"/>
          <w:lang w:val="en-GB"/>
        </w:rPr>
        <w:t xml:space="preserve">O chambers, and to provide methods to control them. </w:t>
      </w:r>
      <w:r w:rsidR="00207A1D" w:rsidRPr="00105FFF">
        <w:rPr>
          <w:rFonts w:ascii="Arial" w:hAnsi="Arial" w:cs="Arial"/>
          <w:lang w:val="en-GB"/>
        </w:rPr>
        <w:t>Specifically, (1) to evaluate the importance of storage effects to the systematic error of the flux estimate; (2) to evaluate the methods of extrapolating the flux to undisturbed flux ; (3) to compare the ways of estimating the saturation of the flux during chamber measurement, (4) to test if it makes sense to use linear fit for flux estimation, and correcting the systematic error, (5) to test if exponential fit with low number of points gives systematic error; and (6) to test if soil gas concentration can be used to estimate flux.</w:t>
      </w:r>
      <w:r w:rsidR="007D29E3" w:rsidRPr="00105FFF">
        <w:rPr>
          <w:rFonts w:ascii="Arial" w:hAnsi="Arial" w:cs="Arial"/>
          <w:lang w:val="en-GB"/>
        </w:rPr>
        <w:t xml:space="preserve"> </w:t>
      </w:r>
      <w:r w:rsidR="00060B1B" w:rsidRPr="00105FFF">
        <w:rPr>
          <w:rFonts w:ascii="Arial" w:hAnsi="Arial" w:cs="Arial"/>
          <w:lang w:val="en-GB"/>
        </w:rPr>
        <w:t xml:space="preserve">Participants brought their own chambers for sensitivity tests of systematic errors related to chamber leaking, and pressure changes caused by gas storage in the soil underneath the chamber. The </w:t>
      </w:r>
      <w:r w:rsidR="00060B1B" w:rsidRPr="00105FFF">
        <w:rPr>
          <w:rFonts w:ascii="Arial" w:hAnsi="Arial" w:cs="Arial"/>
          <w:lang w:val="en-GB"/>
        </w:rPr>
        <w:lastRenderedPageBreak/>
        <w:t>sensitivity of the chambers to errors are going to be estimated by combining data from the different chambers into one dataset. The dataset will be used to further develop ideas how to deal with the errors, and to test if soil N</w:t>
      </w:r>
      <w:r w:rsidR="00060B1B" w:rsidRPr="00105FFF">
        <w:rPr>
          <w:rFonts w:ascii="Arial" w:hAnsi="Arial" w:cs="Arial"/>
          <w:vertAlign w:val="subscript"/>
          <w:lang w:val="en-GB"/>
        </w:rPr>
        <w:t>2</w:t>
      </w:r>
      <w:r w:rsidR="00060B1B" w:rsidRPr="00105FFF">
        <w:rPr>
          <w:rFonts w:ascii="Arial" w:hAnsi="Arial" w:cs="Arial"/>
          <w:lang w:val="en-GB"/>
        </w:rPr>
        <w:t>O concentrations can be used to estimate soil N</w:t>
      </w:r>
      <w:r w:rsidR="00060B1B" w:rsidRPr="00105FFF">
        <w:rPr>
          <w:rFonts w:ascii="Arial" w:hAnsi="Arial" w:cs="Arial"/>
          <w:vertAlign w:val="subscript"/>
          <w:lang w:val="en-GB"/>
        </w:rPr>
        <w:t>2</w:t>
      </w:r>
      <w:r w:rsidR="00060B1B" w:rsidRPr="00105FFF">
        <w:rPr>
          <w:rFonts w:ascii="Arial" w:hAnsi="Arial" w:cs="Arial"/>
          <w:lang w:val="en-GB"/>
        </w:rPr>
        <w:t xml:space="preserve">O fluxes. </w:t>
      </w:r>
      <w:r w:rsidR="007D29E3" w:rsidRPr="00105FFF">
        <w:rPr>
          <w:rFonts w:ascii="Arial" w:hAnsi="Arial" w:cs="Arial"/>
          <w:lang w:val="en-GB"/>
        </w:rPr>
        <w:t>The applicant’s personal objective was to check if the AGPS chamber underestimates soil N</w:t>
      </w:r>
      <w:r w:rsidR="007D29E3" w:rsidRPr="00105FFF">
        <w:rPr>
          <w:rFonts w:ascii="Arial" w:hAnsi="Arial" w:cs="Arial"/>
          <w:vertAlign w:val="subscript"/>
          <w:lang w:val="en-GB"/>
        </w:rPr>
        <w:t>2</w:t>
      </w:r>
      <w:r w:rsidR="007D29E3" w:rsidRPr="00105FFF">
        <w:rPr>
          <w:rFonts w:ascii="Arial" w:hAnsi="Arial" w:cs="Arial"/>
          <w:lang w:val="en-GB"/>
        </w:rPr>
        <w:t xml:space="preserve">O fluxes due to leakage since she had observed not properly sealed chambers several times in the field. The laboratory test data </w:t>
      </w:r>
      <w:r w:rsidR="00060B1B" w:rsidRPr="00105FFF">
        <w:rPr>
          <w:rFonts w:ascii="Arial" w:hAnsi="Arial" w:cs="Arial"/>
          <w:lang w:val="en-GB"/>
        </w:rPr>
        <w:t>is going to</w:t>
      </w:r>
      <w:r w:rsidR="007D29E3" w:rsidRPr="00105FFF">
        <w:rPr>
          <w:rFonts w:ascii="Arial" w:hAnsi="Arial" w:cs="Arial"/>
          <w:lang w:val="en-GB"/>
        </w:rPr>
        <w:t xml:space="preserve"> be used for quality checking and </w:t>
      </w:r>
      <w:r w:rsidR="00060B1B" w:rsidRPr="00105FFF">
        <w:rPr>
          <w:rFonts w:ascii="Arial" w:hAnsi="Arial" w:cs="Arial"/>
          <w:lang w:val="en-GB"/>
        </w:rPr>
        <w:t xml:space="preserve">quality </w:t>
      </w:r>
      <w:r w:rsidR="007D29E3" w:rsidRPr="00105FFF">
        <w:rPr>
          <w:rFonts w:ascii="Arial" w:hAnsi="Arial" w:cs="Arial"/>
          <w:lang w:val="en-GB"/>
        </w:rPr>
        <w:t>assurance of her own field comparison campaign</w:t>
      </w:r>
      <w:r w:rsidR="00060B1B" w:rsidRPr="00105FFF">
        <w:rPr>
          <w:rFonts w:ascii="Arial" w:hAnsi="Arial" w:cs="Arial"/>
          <w:lang w:val="en-GB"/>
        </w:rPr>
        <w:t xml:space="preserve"> dataset</w:t>
      </w:r>
      <w:r w:rsidR="007D29E3" w:rsidRPr="00105FFF">
        <w:rPr>
          <w:rFonts w:ascii="Arial" w:hAnsi="Arial" w:cs="Arial"/>
          <w:lang w:val="en-GB"/>
        </w:rPr>
        <w:t>.</w:t>
      </w:r>
    </w:p>
    <w:p w:rsidR="00B755CC" w:rsidRPr="00105FFF" w:rsidRDefault="00B755CC" w:rsidP="008C560E">
      <w:pPr>
        <w:spacing w:line="276" w:lineRule="auto"/>
        <w:jc w:val="left"/>
        <w:rPr>
          <w:rFonts w:ascii="Arial" w:hAnsi="Arial" w:cs="Arial"/>
          <w:lang w:val="en-GB"/>
        </w:rPr>
      </w:pPr>
    </w:p>
    <w:p w:rsidR="00EA53E6" w:rsidRPr="00105FFF" w:rsidRDefault="00AE7A1F" w:rsidP="008C560E">
      <w:pPr>
        <w:spacing w:line="276" w:lineRule="auto"/>
        <w:jc w:val="left"/>
        <w:rPr>
          <w:rFonts w:ascii="Arial" w:hAnsi="Arial" w:cs="Arial"/>
          <w:b/>
          <w:lang w:val="en-GB"/>
        </w:rPr>
      </w:pPr>
      <w:r w:rsidRPr="00105FFF">
        <w:rPr>
          <w:rFonts w:ascii="Arial" w:hAnsi="Arial" w:cs="Arial"/>
          <w:b/>
          <w:lang w:val="en-GB"/>
        </w:rPr>
        <w:t>R</w:t>
      </w:r>
      <w:r w:rsidR="00EA53E6" w:rsidRPr="00105FFF">
        <w:rPr>
          <w:rFonts w:ascii="Arial" w:hAnsi="Arial" w:cs="Arial"/>
          <w:b/>
          <w:lang w:val="en-GB"/>
        </w:rPr>
        <w:t xml:space="preserve">eason for </w:t>
      </w:r>
      <w:r w:rsidRPr="00105FFF">
        <w:rPr>
          <w:rFonts w:ascii="Arial" w:hAnsi="Arial" w:cs="Arial"/>
          <w:b/>
          <w:lang w:val="en-GB"/>
        </w:rPr>
        <w:t>choosing station</w:t>
      </w:r>
    </w:p>
    <w:p w:rsidR="007639D1" w:rsidRPr="00105FFF" w:rsidRDefault="007639D1" w:rsidP="008C560E">
      <w:pPr>
        <w:spacing w:line="276" w:lineRule="auto"/>
        <w:jc w:val="left"/>
        <w:rPr>
          <w:rFonts w:ascii="Arial" w:hAnsi="Arial" w:cs="Arial"/>
          <w:b/>
          <w:lang w:val="en-GB"/>
        </w:rPr>
      </w:pPr>
    </w:p>
    <w:p w:rsidR="008D5A2F" w:rsidRPr="00105FFF" w:rsidRDefault="008D5A2F" w:rsidP="008C560E">
      <w:pPr>
        <w:spacing w:line="276" w:lineRule="auto"/>
        <w:ind w:firstLine="708"/>
        <w:jc w:val="both"/>
        <w:rPr>
          <w:rFonts w:ascii="Arial" w:hAnsi="Arial" w:cs="Arial"/>
          <w:lang w:val="en-GB"/>
        </w:rPr>
      </w:pPr>
      <w:r w:rsidRPr="00105FFF">
        <w:rPr>
          <w:rFonts w:ascii="Arial" w:hAnsi="Arial" w:cs="Arial"/>
          <w:lang w:val="en-GB"/>
        </w:rPr>
        <w:t>The inter-comparison campaign of soil N</w:t>
      </w:r>
      <w:r w:rsidRPr="00105FFF">
        <w:rPr>
          <w:rFonts w:ascii="Arial" w:hAnsi="Arial" w:cs="Arial"/>
          <w:vertAlign w:val="subscript"/>
          <w:lang w:val="en-GB"/>
        </w:rPr>
        <w:t>2</w:t>
      </w:r>
      <w:r w:rsidR="00E11DC8" w:rsidRPr="00105FFF">
        <w:rPr>
          <w:rFonts w:ascii="Arial" w:hAnsi="Arial" w:cs="Arial"/>
          <w:lang w:val="en-GB"/>
        </w:rPr>
        <w:t>O chamber systems followed</w:t>
      </w:r>
      <w:r w:rsidRPr="00105FFF">
        <w:rPr>
          <w:rFonts w:ascii="Arial" w:hAnsi="Arial" w:cs="Arial"/>
          <w:lang w:val="en-GB"/>
        </w:rPr>
        <w:t xml:space="preserve"> the studies of Pumpanen et al. (2004), Christiansen et al. (2011), and Pihlatie et al. (2013), which dealt with the quantification of systematic errors of soil chambers used for CO</w:t>
      </w:r>
      <w:r w:rsidRPr="00105FFF">
        <w:rPr>
          <w:rFonts w:ascii="Arial" w:hAnsi="Arial" w:cs="Arial"/>
          <w:vertAlign w:val="subscript"/>
          <w:lang w:val="en-GB"/>
        </w:rPr>
        <w:t>2</w:t>
      </w:r>
      <w:r w:rsidRPr="00105FFF">
        <w:rPr>
          <w:rFonts w:ascii="Arial" w:hAnsi="Arial" w:cs="Arial"/>
          <w:lang w:val="en-GB"/>
        </w:rPr>
        <w:t xml:space="preserve"> and CH</w:t>
      </w:r>
      <w:r w:rsidRPr="00105FFF">
        <w:rPr>
          <w:rFonts w:ascii="Arial" w:hAnsi="Arial" w:cs="Arial"/>
          <w:vertAlign w:val="subscript"/>
          <w:lang w:val="en-GB"/>
        </w:rPr>
        <w:t>4</w:t>
      </w:r>
      <w:r w:rsidRPr="00105FFF">
        <w:rPr>
          <w:rFonts w:ascii="Arial" w:hAnsi="Arial" w:cs="Arial"/>
          <w:lang w:val="en-GB"/>
        </w:rPr>
        <w:t xml:space="preserve"> flux measurements. All these studies </w:t>
      </w:r>
      <w:r w:rsidR="00E11DC8" w:rsidRPr="00105FFF">
        <w:rPr>
          <w:rFonts w:ascii="Arial" w:hAnsi="Arial" w:cs="Arial"/>
          <w:lang w:val="en-GB"/>
        </w:rPr>
        <w:t xml:space="preserve">have been conducted at the Hyytiala SMEAR II station in Finland because they </w:t>
      </w:r>
      <w:r w:rsidRPr="00105FFF">
        <w:rPr>
          <w:rFonts w:ascii="Arial" w:hAnsi="Arial" w:cs="Arial"/>
          <w:lang w:val="en-GB"/>
        </w:rPr>
        <w:t xml:space="preserve">relied on the </w:t>
      </w:r>
      <w:r w:rsidR="00E11DC8" w:rsidRPr="00105FFF">
        <w:rPr>
          <w:rFonts w:ascii="Arial" w:hAnsi="Arial" w:cs="Arial"/>
          <w:lang w:val="en-GB"/>
        </w:rPr>
        <w:t>infrastructure provided by that station</w:t>
      </w:r>
      <w:r w:rsidRPr="00105FFF">
        <w:rPr>
          <w:rFonts w:ascii="Arial" w:hAnsi="Arial" w:cs="Arial"/>
          <w:lang w:val="en-GB"/>
        </w:rPr>
        <w:t>.</w:t>
      </w:r>
    </w:p>
    <w:p w:rsidR="00B755CC" w:rsidRPr="00105FFF" w:rsidRDefault="00B755CC" w:rsidP="008C560E">
      <w:pPr>
        <w:spacing w:line="276" w:lineRule="auto"/>
        <w:jc w:val="left"/>
        <w:rPr>
          <w:rFonts w:ascii="Arial" w:hAnsi="Arial" w:cs="Arial"/>
          <w:lang w:val="en-GB"/>
        </w:rPr>
      </w:pPr>
    </w:p>
    <w:p w:rsidR="00EA53E6" w:rsidRPr="00105FFF" w:rsidRDefault="00EA53E6" w:rsidP="008C560E">
      <w:pPr>
        <w:spacing w:line="276" w:lineRule="auto"/>
        <w:jc w:val="left"/>
        <w:rPr>
          <w:rFonts w:ascii="Arial" w:hAnsi="Arial" w:cs="Arial"/>
          <w:b/>
          <w:lang w:val="en-GB"/>
        </w:rPr>
      </w:pPr>
      <w:r w:rsidRPr="00105FFF">
        <w:rPr>
          <w:rFonts w:ascii="Arial" w:hAnsi="Arial" w:cs="Arial"/>
          <w:b/>
          <w:lang w:val="en-GB"/>
        </w:rPr>
        <w:t>Method and experimental set-up</w:t>
      </w:r>
    </w:p>
    <w:p w:rsidR="007639D1" w:rsidRPr="00105FFF" w:rsidRDefault="007639D1" w:rsidP="008C560E">
      <w:pPr>
        <w:spacing w:line="276" w:lineRule="auto"/>
        <w:jc w:val="left"/>
        <w:rPr>
          <w:rFonts w:ascii="Arial" w:hAnsi="Arial" w:cs="Arial"/>
          <w:b/>
          <w:lang w:val="en-GB"/>
        </w:rPr>
      </w:pPr>
    </w:p>
    <w:p w:rsidR="008C560E" w:rsidRPr="00105FFF" w:rsidRDefault="00DE297D" w:rsidP="0046738D">
      <w:pPr>
        <w:spacing w:line="276" w:lineRule="auto"/>
        <w:ind w:firstLine="708"/>
        <w:jc w:val="both"/>
        <w:rPr>
          <w:rFonts w:ascii="Arial" w:hAnsi="Arial" w:cs="Arial"/>
          <w:lang w:val="en-GB"/>
        </w:rPr>
      </w:pPr>
      <w:r w:rsidRPr="00105FFF">
        <w:rPr>
          <w:rFonts w:ascii="Arial" w:hAnsi="Arial" w:cs="Arial"/>
          <w:lang w:val="en-GB"/>
        </w:rPr>
        <w:t>In total 22</w:t>
      </w:r>
      <w:r w:rsidR="000B0F2D" w:rsidRPr="00105FFF">
        <w:rPr>
          <w:rFonts w:ascii="Arial" w:hAnsi="Arial" w:cs="Arial"/>
          <w:lang w:val="en-GB"/>
        </w:rPr>
        <w:t xml:space="preserve"> soil chamber systems differing in </w:t>
      </w:r>
      <w:r w:rsidRPr="00105FFF">
        <w:rPr>
          <w:rFonts w:ascii="Arial" w:hAnsi="Arial" w:cs="Arial"/>
          <w:lang w:val="en-GB"/>
        </w:rPr>
        <w:t>size, shape and material were</w:t>
      </w:r>
      <w:r w:rsidR="000B0F2D" w:rsidRPr="00105FFF">
        <w:rPr>
          <w:rFonts w:ascii="Arial" w:hAnsi="Arial" w:cs="Arial"/>
          <w:lang w:val="en-GB"/>
        </w:rPr>
        <w:t xml:space="preserve"> tested during the inter-co</w:t>
      </w:r>
      <w:r w:rsidRPr="00105FFF">
        <w:rPr>
          <w:rFonts w:ascii="Arial" w:hAnsi="Arial" w:cs="Arial"/>
          <w:lang w:val="en-GB"/>
        </w:rPr>
        <w:t xml:space="preserve">mparison campaign. The </w:t>
      </w:r>
      <w:r w:rsidR="000B0F2D" w:rsidRPr="00105FFF">
        <w:rPr>
          <w:rFonts w:ascii="Arial" w:hAnsi="Arial" w:cs="Arial"/>
          <w:lang w:val="en-GB"/>
        </w:rPr>
        <w:t>tes</w:t>
      </w:r>
      <w:r w:rsidRPr="00105FFF">
        <w:rPr>
          <w:rFonts w:ascii="Arial" w:hAnsi="Arial" w:cs="Arial"/>
          <w:lang w:val="en-GB"/>
        </w:rPr>
        <w:t>ting was</w:t>
      </w:r>
      <w:r w:rsidR="000B0F2D" w:rsidRPr="00105FFF">
        <w:rPr>
          <w:rFonts w:ascii="Arial" w:hAnsi="Arial" w:cs="Arial"/>
          <w:lang w:val="en-GB"/>
        </w:rPr>
        <w:t xml:space="preserve"> performed on a chamber calibration system present at the experimental station in Hyytiala (for description see Pumpanen et al. 2004, Christiansen et al. 2011, Pihlatie et al. 2013). </w:t>
      </w:r>
      <w:r w:rsidRPr="00105FFF">
        <w:rPr>
          <w:rFonts w:ascii="Arial" w:hAnsi="Arial" w:cs="Arial"/>
          <w:lang w:val="en-GB"/>
        </w:rPr>
        <w:t>In short, it consisted of a stainless-steel tank (diameter 1.6 m, height 1.0 m, volume 2.6 m</w:t>
      </w:r>
      <w:r w:rsidRPr="00105FFF">
        <w:rPr>
          <w:rFonts w:ascii="Arial" w:hAnsi="Arial" w:cs="Arial"/>
          <w:vertAlign w:val="superscript"/>
          <w:lang w:val="en-GB"/>
        </w:rPr>
        <w:t>3</w:t>
      </w:r>
      <w:r w:rsidRPr="00105FFF">
        <w:rPr>
          <w:rFonts w:ascii="Arial" w:hAnsi="Arial" w:cs="Arial"/>
          <w:lang w:val="en-GB"/>
        </w:rPr>
        <w:t>) which contained known concentrations of N</w:t>
      </w:r>
      <w:r w:rsidRPr="00105FFF">
        <w:rPr>
          <w:rFonts w:ascii="Arial" w:hAnsi="Arial" w:cs="Arial"/>
          <w:vertAlign w:val="subscript"/>
          <w:lang w:val="en-GB"/>
        </w:rPr>
        <w:t>2</w:t>
      </w:r>
      <w:r w:rsidRPr="00105FFF">
        <w:rPr>
          <w:rFonts w:ascii="Arial" w:hAnsi="Arial" w:cs="Arial"/>
          <w:lang w:val="en-GB"/>
        </w:rPr>
        <w:t xml:space="preserve">O, and which was covered with a perforated lid on which a layer of sand was set to act as porous media. The chambers were placed on top of the sand bed for the single measurements. </w:t>
      </w:r>
      <w:r w:rsidR="000B0F2D" w:rsidRPr="00105FFF">
        <w:rPr>
          <w:rFonts w:ascii="Arial" w:hAnsi="Arial" w:cs="Arial"/>
          <w:lang w:val="en-GB"/>
        </w:rPr>
        <w:t xml:space="preserve">The </w:t>
      </w:r>
      <w:r w:rsidRPr="00105FFF">
        <w:rPr>
          <w:rFonts w:ascii="Arial" w:hAnsi="Arial" w:cs="Arial"/>
          <w:lang w:val="en-GB"/>
        </w:rPr>
        <w:t xml:space="preserve">known </w:t>
      </w:r>
      <w:r w:rsidR="000B0F2D" w:rsidRPr="00105FFF">
        <w:rPr>
          <w:rFonts w:ascii="Arial" w:hAnsi="Arial" w:cs="Arial"/>
          <w:lang w:val="en-GB"/>
        </w:rPr>
        <w:t>reference flux of N</w:t>
      </w:r>
      <w:r w:rsidR="000B0F2D" w:rsidRPr="00105FFF">
        <w:rPr>
          <w:rFonts w:ascii="Arial" w:hAnsi="Arial" w:cs="Arial"/>
          <w:vertAlign w:val="subscript"/>
          <w:lang w:val="en-GB"/>
        </w:rPr>
        <w:t>2</w:t>
      </w:r>
      <w:r w:rsidRPr="00105FFF">
        <w:rPr>
          <w:rFonts w:ascii="Arial" w:hAnsi="Arial" w:cs="Arial"/>
          <w:lang w:val="en-GB"/>
        </w:rPr>
        <w:t xml:space="preserve">O through </w:t>
      </w:r>
      <w:r w:rsidR="00A8084F" w:rsidRPr="00105FFF">
        <w:rPr>
          <w:rFonts w:ascii="Arial" w:hAnsi="Arial" w:cs="Arial"/>
          <w:lang w:val="en-GB"/>
        </w:rPr>
        <w:t>the</w:t>
      </w:r>
      <w:r w:rsidRPr="00105FFF">
        <w:rPr>
          <w:rFonts w:ascii="Arial" w:hAnsi="Arial" w:cs="Arial"/>
          <w:lang w:val="en-GB"/>
        </w:rPr>
        <w:t xml:space="preserve"> sand bed can be</w:t>
      </w:r>
      <w:r w:rsidR="000B0F2D" w:rsidRPr="00105FFF">
        <w:rPr>
          <w:rFonts w:ascii="Arial" w:hAnsi="Arial" w:cs="Arial"/>
          <w:lang w:val="en-GB"/>
        </w:rPr>
        <w:t xml:space="preserve"> compared with the simultaneously measured soil chamber flux on the top sand surface, thus allowing direct comparison between both fluxes, and subsequent determination of the possible under-/over-estimations of tested chambers (Pihlatie et al. 2013). The depth of the sand bed </w:t>
      </w:r>
      <w:r w:rsidR="00A8084F" w:rsidRPr="00105FFF">
        <w:rPr>
          <w:rFonts w:ascii="Arial" w:hAnsi="Arial" w:cs="Arial"/>
          <w:lang w:val="en-GB"/>
        </w:rPr>
        <w:t>was</w:t>
      </w:r>
      <w:r w:rsidR="000B0F2D" w:rsidRPr="00105FFF">
        <w:rPr>
          <w:rFonts w:ascii="Arial" w:hAnsi="Arial" w:cs="Arial"/>
          <w:lang w:val="en-GB"/>
        </w:rPr>
        <w:t xml:space="preserve"> adjustable to simulate different soil transport coefficients. Additionally, the chambers </w:t>
      </w:r>
      <w:r w:rsidR="00A8084F" w:rsidRPr="00105FFF">
        <w:rPr>
          <w:rFonts w:ascii="Arial" w:hAnsi="Arial" w:cs="Arial"/>
          <w:lang w:val="en-GB"/>
        </w:rPr>
        <w:t>were</w:t>
      </w:r>
      <w:r w:rsidR="000B0F2D" w:rsidRPr="00105FFF">
        <w:rPr>
          <w:rFonts w:ascii="Arial" w:hAnsi="Arial" w:cs="Arial"/>
          <w:lang w:val="en-GB"/>
        </w:rPr>
        <w:t xml:space="preserve"> subjected to different wind speeds to check for possible disturbance effects on the flux rates. </w:t>
      </w:r>
    </w:p>
    <w:p w:rsidR="00A8084F" w:rsidRPr="00105FFF" w:rsidRDefault="006221F6" w:rsidP="008C560E">
      <w:pPr>
        <w:spacing w:line="276" w:lineRule="auto"/>
        <w:ind w:firstLine="708"/>
        <w:jc w:val="both"/>
        <w:rPr>
          <w:rFonts w:ascii="Arial" w:hAnsi="Arial" w:cs="Arial"/>
          <w:lang w:val="en-GB"/>
        </w:rPr>
      </w:pPr>
      <w:r w:rsidRPr="00105FFF">
        <w:rPr>
          <w:rFonts w:ascii="Arial" w:hAnsi="Arial" w:cs="Arial"/>
          <w:lang w:val="en-GB"/>
        </w:rPr>
        <w:t xml:space="preserve">The complete test for a single chamber consisted of so-called ‘protocol measurements’ to which each chamber was subjected for the inter-comparison, and extra tests during which the participants could try out additional measurement conditions to meet their own objectives. </w:t>
      </w:r>
      <w:r w:rsidR="00BB71F1" w:rsidRPr="00105FFF">
        <w:rPr>
          <w:rFonts w:ascii="Arial" w:hAnsi="Arial" w:cs="Arial"/>
          <w:lang w:val="en-GB"/>
        </w:rPr>
        <w:t xml:space="preserve">Each chamber measurement lasted 10 minutes with a 20 minutes stabilization period between the single measurements. </w:t>
      </w:r>
      <w:r w:rsidR="00F85B44" w:rsidRPr="00105FFF">
        <w:rPr>
          <w:rFonts w:ascii="Arial" w:hAnsi="Arial" w:cs="Arial"/>
          <w:lang w:val="en-GB"/>
        </w:rPr>
        <w:t xml:space="preserve">Furthermore, the leak rates of </w:t>
      </w:r>
      <w:r w:rsidR="00072042" w:rsidRPr="00105FFF">
        <w:rPr>
          <w:rFonts w:ascii="Arial" w:hAnsi="Arial" w:cs="Arial"/>
          <w:lang w:val="en-GB"/>
        </w:rPr>
        <w:t>each</w:t>
      </w:r>
      <w:r w:rsidR="00F85B44" w:rsidRPr="00105FFF">
        <w:rPr>
          <w:rFonts w:ascii="Arial" w:hAnsi="Arial" w:cs="Arial"/>
          <w:lang w:val="en-GB"/>
        </w:rPr>
        <w:t xml:space="preserve"> chamber</w:t>
      </w:r>
      <w:r w:rsidR="00072042" w:rsidRPr="00105FFF">
        <w:rPr>
          <w:rFonts w:ascii="Arial" w:hAnsi="Arial" w:cs="Arial"/>
          <w:lang w:val="en-GB"/>
        </w:rPr>
        <w:t xml:space="preserve"> was</w:t>
      </w:r>
      <w:r w:rsidR="00F85B44" w:rsidRPr="00105FFF">
        <w:rPr>
          <w:rFonts w:ascii="Arial" w:hAnsi="Arial" w:cs="Arial"/>
          <w:lang w:val="en-GB"/>
        </w:rPr>
        <w:t xml:space="preserve"> measured by placing </w:t>
      </w:r>
      <w:r w:rsidR="00072042" w:rsidRPr="00105FFF">
        <w:rPr>
          <w:rFonts w:ascii="Arial" w:hAnsi="Arial" w:cs="Arial"/>
          <w:lang w:val="en-GB"/>
        </w:rPr>
        <w:t>it</w:t>
      </w:r>
      <w:r w:rsidR="00F85B44" w:rsidRPr="00105FFF">
        <w:rPr>
          <w:rFonts w:ascii="Arial" w:hAnsi="Arial" w:cs="Arial"/>
          <w:lang w:val="en-GB"/>
        </w:rPr>
        <w:t xml:space="preserve"> with</w:t>
      </w:r>
      <w:r w:rsidR="00072042" w:rsidRPr="00105FFF">
        <w:rPr>
          <w:rFonts w:ascii="Arial" w:hAnsi="Arial" w:cs="Arial"/>
          <w:lang w:val="en-GB"/>
        </w:rPr>
        <w:t xml:space="preserve"> its</w:t>
      </w:r>
      <w:r w:rsidR="00F85B44" w:rsidRPr="00105FFF">
        <w:rPr>
          <w:rFonts w:ascii="Arial" w:hAnsi="Arial" w:cs="Arial"/>
          <w:lang w:val="en-GB"/>
        </w:rPr>
        <w:t xml:space="preserve"> collar into a water bath, injecting 1000 ppb N</w:t>
      </w:r>
      <w:r w:rsidR="00F85B44" w:rsidRPr="00105FFF">
        <w:rPr>
          <w:rFonts w:ascii="Arial" w:hAnsi="Arial" w:cs="Arial"/>
          <w:vertAlign w:val="subscript"/>
          <w:lang w:val="en-GB"/>
        </w:rPr>
        <w:t>2</w:t>
      </w:r>
      <w:r w:rsidR="00F85B44" w:rsidRPr="00105FFF">
        <w:rPr>
          <w:rFonts w:ascii="Arial" w:hAnsi="Arial" w:cs="Arial"/>
          <w:lang w:val="en-GB"/>
        </w:rPr>
        <w:t>O in</w:t>
      </w:r>
      <w:r w:rsidR="00072042" w:rsidRPr="00105FFF">
        <w:rPr>
          <w:rFonts w:ascii="Arial" w:hAnsi="Arial" w:cs="Arial"/>
          <w:lang w:val="en-GB"/>
        </w:rPr>
        <w:t>to</w:t>
      </w:r>
      <w:r w:rsidR="00F85B44" w:rsidRPr="00105FFF">
        <w:rPr>
          <w:rFonts w:ascii="Arial" w:hAnsi="Arial" w:cs="Arial"/>
          <w:lang w:val="en-GB"/>
        </w:rPr>
        <w:t xml:space="preserve"> the chamber headspace, and </w:t>
      </w:r>
      <w:r w:rsidR="00BB71F1" w:rsidRPr="00105FFF">
        <w:rPr>
          <w:rFonts w:ascii="Arial" w:hAnsi="Arial" w:cs="Arial"/>
          <w:lang w:val="en-GB"/>
        </w:rPr>
        <w:t>measuring</w:t>
      </w:r>
      <w:r w:rsidR="00F85B44" w:rsidRPr="00105FFF">
        <w:rPr>
          <w:rFonts w:ascii="Arial" w:hAnsi="Arial" w:cs="Arial"/>
          <w:lang w:val="en-GB"/>
        </w:rPr>
        <w:t xml:space="preserve"> the </w:t>
      </w:r>
      <w:r w:rsidR="00BB71F1" w:rsidRPr="00105FFF">
        <w:rPr>
          <w:rFonts w:ascii="Arial" w:hAnsi="Arial" w:cs="Arial"/>
          <w:lang w:val="en-GB"/>
        </w:rPr>
        <w:t xml:space="preserve">decline in </w:t>
      </w:r>
      <w:r w:rsidR="00F85B44" w:rsidRPr="00105FFF">
        <w:rPr>
          <w:rFonts w:ascii="Arial" w:hAnsi="Arial" w:cs="Arial"/>
          <w:lang w:val="en-GB"/>
        </w:rPr>
        <w:t>N</w:t>
      </w:r>
      <w:r w:rsidR="00F85B44" w:rsidRPr="00105FFF">
        <w:rPr>
          <w:rFonts w:ascii="Arial" w:hAnsi="Arial" w:cs="Arial"/>
          <w:vertAlign w:val="subscript"/>
          <w:lang w:val="en-GB"/>
        </w:rPr>
        <w:t>2</w:t>
      </w:r>
      <w:r w:rsidR="00F85B44" w:rsidRPr="00105FFF">
        <w:rPr>
          <w:rFonts w:ascii="Arial" w:hAnsi="Arial" w:cs="Arial"/>
          <w:lang w:val="en-GB"/>
        </w:rPr>
        <w:t xml:space="preserve">O concentration in </w:t>
      </w:r>
      <w:r w:rsidR="00BB71F1" w:rsidRPr="00105FFF">
        <w:rPr>
          <w:rFonts w:ascii="Arial" w:hAnsi="Arial" w:cs="Arial"/>
          <w:lang w:val="en-GB"/>
        </w:rPr>
        <w:t>the headspace over one hour.</w:t>
      </w:r>
      <w:r w:rsidR="00C62FD0" w:rsidRPr="00105FFF">
        <w:rPr>
          <w:rFonts w:ascii="Arial" w:hAnsi="Arial" w:cs="Arial"/>
          <w:lang w:val="en-GB"/>
        </w:rPr>
        <w:t xml:space="preserve"> Nitrous oxide concentrations were determined using laser N</w:t>
      </w:r>
      <w:r w:rsidR="00C62FD0" w:rsidRPr="00105FFF">
        <w:rPr>
          <w:rFonts w:ascii="Arial" w:hAnsi="Arial" w:cs="Arial"/>
          <w:vertAlign w:val="subscript"/>
          <w:lang w:val="en-GB"/>
        </w:rPr>
        <w:t>2</w:t>
      </w:r>
      <w:r w:rsidR="00C62FD0" w:rsidRPr="00105FFF">
        <w:rPr>
          <w:rFonts w:ascii="Arial" w:hAnsi="Arial" w:cs="Arial"/>
          <w:lang w:val="en-GB"/>
        </w:rPr>
        <w:t>O gas analysers. The N</w:t>
      </w:r>
      <w:r w:rsidR="00C62FD0" w:rsidRPr="00105FFF">
        <w:rPr>
          <w:rFonts w:ascii="Arial" w:hAnsi="Arial" w:cs="Arial"/>
          <w:vertAlign w:val="subscript"/>
          <w:lang w:val="en-GB"/>
        </w:rPr>
        <w:t>2</w:t>
      </w:r>
      <w:r w:rsidR="00C62FD0" w:rsidRPr="00105FFF">
        <w:rPr>
          <w:rFonts w:ascii="Arial" w:hAnsi="Arial" w:cs="Arial"/>
          <w:lang w:val="en-GB"/>
        </w:rPr>
        <w:t>O fluxes are going to be calculated according to Pumpanen et al. (2004), Christiansen et al. (2011) and Pihlatie et al. (2013).</w:t>
      </w:r>
      <w:r w:rsidR="00F85B44" w:rsidRPr="00105FFF">
        <w:rPr>
          <w:rFonts w:ascii="Arial" w:hAnsi="Arial" w:cs="Arial"/>
          <w:lang w:val="en-GB"/>
        </w:rPr>
        <w:t xml:space="preserve"> </w:t>
      </w:r>
      <w:r w:rsidR="00D41E7A" w:rsidRPr="00105FFF">
        <w:rPr>
          <w:rFonts w:ascii="Arial" w:hAnsi="Arial" w:cs="Arial"/>
          <w:lang w:val="en-GB"/>
        </w:rPr>
        <w:t xml:space="preserve">The applicant’s measurement plan </w:t>
      </w:r>
      <w:r w:rsidR="0046738D" w:rsidRPr="00105FFF">
        <w:rPr>
          <w:rFonts w:ascii="Arial" w:hAnsi="Arial" w:cs="Arial"/>
          <w:lang w:val="en-GB"/>
        </w:rPr>
        <w:t xml:space="preserve">for the AGPS </w:t>
      </w:r>
      <w:r w:rsidR="00D41E7A" w:rsidRPr="00105FFF">
        <w:rPr>
          <w:rFonts w:ascii="Arial" w:hAnsi="Arial" w:cs="Arial"/>
          <w:lang w:val="en-GB"/>
        </w:rPr>
        <w:t>during her stay at Hyytiala SMEAR II station</w:t>
      </w:r>
      <w:r w:rsidR="0046738D" w:rsidRPr="00105FFF">
        <w:rPr>
          <w:rFonts w:ascii="Arial" w:hAnsi="Arial" w:cs="Arial"/>
          <w:lang w:val="en-GB"/>
        </w:rPr>
        <w:t xml:space="preserve"> is listed in the table below</w:t>
      </w:r>
      <w:r w:rsidR="00D41E7A" w:rsidRPr="00105FFF">
        <w:rPr>
          <w:rFonts w:ascii="Arial" w:hAnsi="Arial" w:cs="Arial"/>
          <w:lang w:val="en-GB"/>
        </w:rPr>
        <w:t>.</w:t>
      </w:r>
    </w:p>
    <w:p w:rsidR="00D41E7A" w:rsidRPr="00105FFF" w:rsidRDefault="00D41E7A" w:rsidP="008C560E">
      <w:pPr>
        <w:spacing w:line="276" w:lineRule="auto"/>
        <w:jc w:val="both"/>
        <w:rPr>
          <w:rFonts w:ascii="Arial" w:hAnsi="Arial" w:cs="Arial"/>
          <w:lang w:val="en-GB"/>
        </w:rPr>
      </w:pPr>
    </w:p>
    <w:tbl>
      <w:tblPr>
        <w:tblStyle w:val="Tabellenraster"/>
        <w:tblW w:w="0" w:type="auto"/>
        <w:tblLook w:val="04A0" w:firstRow="1" w:lastRow="0" w:firstColumn="1" w:lastColumn="0" w:noHBand="0" w:noVBand="1"/>
      </w:tblPr>
      <w:tblGrid>
        <w:gridCol w:w="1413"/>
        <w:gridCol w:w="4252"/>
        <w:gridCol w:w="3963"/>
      </w:tblGrid>
      <w:tr w:rsidR="00F85B44" w:rsidRPr="00105FFF" w:rsidTr="00C26D29">
        <w:tc>
          <w:tcPr>
            <w:tcW w:w="1413" w:type="dxa"/>
          </w:tcPr>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Date</w:t>
            </w:r>
          </w:p>
        </w:tc>
        <w:tc>
          <w:tcPr>
            <w:tcW w:w="4252" w:type="dxa"/>
          </w:tcPr>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Protocol measurement</w:t>
            </w:r>
            <w:r w:rsidR="0046738D" w:rsidRPr="00105FFF">
              <w:rPr>
                <w:rFonts w:ascii="Arial" w:hAnsi="Arial" w:cs="Arial"/>
                <w:sz w:val="20"/>
                <w:szCs w:val="20"/>
                <w:lang w:val="en-GB"/>
              </w:rPr>
              <w:t>s</w:t>
            </w:r>
          </w:p>
        </w:tc>
        <w:tc>
          <w:tcPr>
            <w:tcW w:w="3963" w:type="dxa"/>
          </w:tcPr>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Extra tests</w:t>
            </w:r>
          </w:p>
        </w:tc>
      </w:tr>
      <w:tr w:rsidR="00F85B44" w:rsidRPr="00105FFF" w:rsidTr="00C26D29">
        <w:tc>
          <w:tcPr>
            <w:tcW w:w="1413" w:type="dxa"/>
          </w:tcPr>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06.07.2014</w:t>
            </w:r>
          </w:p>
        </w:tc>
        <w:tc>
          <w:tcPr>
            <w:tcW w:w="4252" w:type="dxa"/>
          </w:tcPr>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Prepara</w:t>
            </w:r>
            <w:r w:rsidR="00DE6993" w:rsidRPr="00105FFF">
              <w:rPr>
                <w:rFonts w:ascii="Arial" w:hAnsi="Arial" w:cs="Arial"/>
                <w:sz w:val="20"/>
                <w:szCs w:val="20"/>
                <w:lang w:val="en-GB"/>
              </w:rPr>
              <w:t>tion of chamber and measurement set-up</w:t>
            </w:r>
          </w:p>
          <w:p w:rsidR="00AB0FF4" w:rsidRPr="00105FFF" w:rsidRDefault="00AB0FF4" w:rsidP="008C560E">
            <w:pPr>
              <w:spacing w:line="276" w:lineRule="auto"/>
              <w:jc w:val="both"/>
              <w:rPr>
                <w:rFonts w:ascii="Arial" w:hAnsi="Arial" w:cs="Arial"/>
                <w:sz w:val="20"/>
                <w:szCs w:val="20"/>
                <w:lang w:val="en-GB"/>
              </w:rPr>
            </w:pPr>
            <w:r w:rsidRPr="00105FFF">
              <w:rPr>
                <w:rFonts w:ascii="Arial" w:hAnsi="Arial" w:cs="Arial"/>
                <w:sz w:val="20"/>
                <w:szCs w:val="20"/>
                <w:lang w:val="en-GB"/>
              </w:rPr>
              <w:t>Chamber placed overnight on the tank, sand depth 20 cm</w:t>
            </w:r>
          </w:p>
        </w:tc>
        <w:tc>
          <w:tcPr>
            <w:tcW w:w="3963" w:type="dxa"/>
          </w:tcPr>
          <w:p w:rsidR="00F85B44" w:rsidRPr="00105FFF" w:rsidRDefault="00F85B44" w:rsidP="008C560E">
            <w:pPr>
              <w:spacing w:line="276" w:lineRule="auto"/>
              <w:jc w:val="both"/>
              <w:rPr>
                <w:rFonts w:ascii="Arial" w:hAnsi="Arial" w:cs="Arial"/>
                <w:sz w:val="20"/>
                <w:szCs w:val="20"/>
                <w:lang w:val="en-GB"/>
              </w:rPr>
            </w:pPr>
          </w:p>
        </w:tc>
      </w:tr>
      <w:tr w:rsidR="00F85B44" w:rsidRPr="00105FFF" w:rsidTr="00C26D29">
        <w:tc>
          <w:tcPr>
            <w:tcW w:w="1413" w:type="dxa"/>
          </w:tcPr>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07.07.2014</w:t>
            </w:r>
          </w:p>
        </w:tc>
        <w:tc>
          <w:tcPr>
            <w:tcW w:w="4252" w:type="dxa"/>
          </w:tcPr>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Sand depth 20 cm, no wind (6 replicates)</w:t>
            </w:r>
          </w:p>
          <w:p w:rsidR="00F85B44" w:rsidRPr="00105FFF" w:rsidRDefault="00F85B44" w:rsidP="008C560E">
            <w:pPr>
              <w:spacing w:line="276" w:lineRule="auto"/>
              <w:jc w:val="both"/>
              <w:rPr>
                <w:rFonts w:ascii="Arial" w:hAnsi="Arial" w:cs="Arial"/>
                <w:sz w:val="20"/>
                <w:szCs w:val="20"/>
                <w:lang w:val="en-GB"/>
              </w:rPr>
            </w:pPr>
            <w:r w:rsidRPr="00105FFF">
              <w:rPr>
                <w:rFonts w:ascii="Arial" w:hAnsi="Arial" w:cs="Arial"/>
                <w:sz w:val="20"/>
                <w:szCs w:val="20"/>
                <w:lang w:val="en-GB"/>
              </w:rPr>
              <w:t>Sand depth 20 cm, 1.5 m/s wind (6 replicates)</w:t>
            </w:r>
          </w:p>
          <w:p w:rsidR="00F85B44" w:rsidRPr="00105FFF" w:rsidRDefault="008E5632" w:rsidP="008C560E">
            <w:pPr>
              <w:spacing w:line="276" w:lineRule="auto"/>
              <w:jc w:val="both"/>
              <w:rPr>
                <w:rFonts w:ascii="Arial" w:hAnsi="Arial" w:cs="Arial"/>
                <w:sz w:val="20"/>
                <w:szCs w:val="20"/>
                <w:lang w:val="en-GB"/>
              </w:rPr>
            </w:pPr>
            <w:r w:rsidRPr="00105FFF">
              <w:rPr>
                <w:rFonts w:ascii="Arial" w:hAnsi="Arial" w:cs="Arial"/>
                <w:sz w:val="20"/>
                <w:szCs w:val="20"/>
                <w:lang w:val="en-GB"/>
              </w:rPr>
              <w:t>Leak</w:t>
            </w:r>
            <w:r w:rsidR="00F85B44" w:rsidRPr="00105FFF">
              <w:rPr>
                <w:rFonts w:ascii="Arial" w:hAnsi="Arial" w:cs="Arial"/>
                <w:sz w:val="20"/>
                <w:szCs w:val="20"/>
                <w:lang w:val="en-GB"/>
              </w:rPr>
              <w:t xml:space="preserve"> test </w:t>
            </w:r>
            <w:r w:rsidRPr="00105FFF">
              <w:rPr>
                <w:rFonts w:ascii="Arial" w:hAnsi="Arial" w:cs="Arial"/>
                <w:sz w:val="20"/>
                <w:szCs w:val="20"/>
                <w:lang w:val="en-GB"/>
              </w:rPr>
              <w:t xml:space="preserve">in water bath </w:t>
            </w:r>
            <w:r w:rsidR="00F85B44" w:rsidRPr="00105FFF">
              <w:rPr>
                <w:rFonts w:ascii="Arial" w:hAnsi="Arial" w:cs="Arial"/>
                <w:sz w:val="20"/>
                <w:szCs w:val="20"/>
                <w:lang w:val="en-GB"/>
              </w:rPr>
              <w:t>(1 replicate)</w:t>
            </w:r>
          </w:p>
          <w:p w:rsidR="00AB0FF4" w:rsidRPr="00105FFF" w:rsidRDefault="00AB0FF4" w:rsidP="008C560E">
            <w:pPr>
              <w:spacing w:line="276" w:lineRule="auto"/>
              <w:jc w:val="both"/>
              <w:rPr>
                <w:rFonts w:ascii="Arial" w:hAnsi="Arial" w:cs="Arial"/>
                <w:sz w:val="20"/>
                <w:szCs w:val="20"/>
                <w:lang w:val="en-GB"/>
              </w:rPr>
            </w:pPr>
            <w:r w:rsidRPr="00105FFF">
              <w:rPr>
                <w:rFonts w:ascii="Arial" w:hAnsi="Arial" w:cs="Arial"/>
                <w:sz w:val="20"/>
                <w:szCs w:val="20"/>
                <w:lang w:val="en-GB"/>
              </w:rPr>
              <w:t>Change of sand bed depth to 10 cm</w:t>
            </w:r>
          </w:p>
          <w:p w:rsidR="00AB0FF4" w:rsidRPr="00105FFF" w:rsidRDefault="00AB0FF4" w:rsidP="008C560E">
            <w:pPr>
              <w:spacing w:line="276" w:lineRule="auto"/>
              <w:jc w:val="both"/>
              <w:rPr>
                <w:rFonts w:ascii="Arial" w:hAnsi="Arial" w:cs="Arial"/>
                <w:sz w:val="20"/>
                <w:szCs w:val="20"/>
                <w:lang w:val="en-GB"/>
              </w:rPr>
            </w:pPr>
            <w:r w:rsidRPr="00105FFF">
              <w:rPr>
                <w:rFonts w:ascii="Arial" w:hAnsi="Arial" w:cs="Arial"/>
                <w:sz w:val="20"/>
                <w:szCs w:val="20"/>
                <w:lang w:val="en-GB"/>
              </w:rPr>
              <w:t>Chamber placed overnight on the tank</w:t>
            </w:r>
          </w:p>
        </w:tc>
        <w:tc>
          <w:tcPr>
            <w:tcW w:w="3963" w:type="dxa"/>
          </w:tcPr>
          <w:p w:rsidR="00F85B44" w:rsidRPr="00105FFF" w:rsidRDefault="008E5632" w:rsidP="008C560E">
            <w:pPr>
              <w:spacing w:line="276" w:lineRule="auto"/>
              <w:jc w:val="both"/>
              <w:rPr>
                <w:rFonts w:ascii="Arial" w:hAnsi="Arial" w:cs="Arial"/>
                <w:sz w:val="20"/>
                <w:szCs w:val="20"/>
                <w:lang w:val="en-GB"/>
              </w:rPr>
            </w:pPr>
            <w:r w:rsidRPr="00105FFF">
              <w:rPr>
                <w:rFonts w:ascii="Arial" w:hAnsi="Arial" w:cs="Arial"/>
                <w:sz w:val="20"/>
                <w:szCs w:val="20"/>
                <w:lang w:val="en-GB"/>
              </w:rPr>
              <w:t>2 additional leak</w:t>
            </w:r>
            <w:r w:rsidR="000A0F03" w:rsidRPr="00105FFF">
              <w:rPr>
                <w:rFonts w:ascii="Arial" w:hAnsi="Arial" w:cs="Arial"/>
                <w:sz w:val="20"/>
                <w:szCs w:val="20"/>
                <w:lang w:val="en-GB"/>
              </w:rPr>
              <w:t xml:space="preserve"> tests </w:t>
            </w:r>
            <w:r w:rsidRPr="00105FFF">
              <w:rPr>
                <w:rFonts w:ascii="Arial" w:hAnsi="Arial" w:cs="Arial"/>
                <w:sz w:val="20"/>
                <w:szCs w:val="20"/>
                <w:lang w:val="en-GB"/>
              </w:rPr>
              <w:t xml:space="preserve">in water bath </w:t>
            </w:r>
            <w:r w:rsidR="000A0F03" w:rsidRPr="00105FFF">
              <w:rPr>
                <w:rFonts w:ascii="Arial" w:hAnsi="Arial" w:cs="Arial"/>
                <w:sz w:val="20"/>
                <w:szCs w:val="20"/>
                <w:lang w:val="en-GB"/>
              </w:rPr>
              <w:t>with artificial leaks</w:t>
            </w:r>
          </w:p>
        </w:tc>
      </w:tr>
      <w:tr w:rsidR="00F85B44" w:rsidRPr="00105FFF" w:rsidTr="00C26D29">
        <w:tc>
          <w:tcPr>
            <w:tcW w:w="1413" w:type="dxa"/>
          </w:tcPr>
          <w:p w:rsidR="00F85B44" w:rsidRPr="00105FFF" w:rsidRDefault="00AB0FF4" w:rsidP="008C560E">
            <w:pPr>
              <w:spacing w:line="276" w:lineRule="auto"/>
              <w:jc w:val="both"/>
              <w:rPr>
                <w:rFonts w:ascii="Arial" w:hAnsi="Arial" w:cs="Arial"/>
                <w:sz w:val="20"/>
                <w:szCs w:val="20"/>
                <w:lang w:val="en-GB"/>
              </w:rPr>
            </w:pPr>
            <w:r w:rsidRPr="00105FFF">
              <w:rPr>
                <w:rFonts w:ascii="Arial" w:hAnsi="Arial" w:cs="Arial"/>
                <w:sz w:val="20"/>
                <w:szCs w:val="20"/>
                <w:lang w:val="en-GB"/>
              </w:rPr>
              <w:lastRenderedPageBreak/>
              <w:t>08.07.2014</w:t>
            </w:r>
          </w:p>
        </w:tc>
        <w:tc>
          <w:tcPr>
            <w:tcW w:w="4252" w:type="dxa"/>
          </w:tcPr>
          <w:p w:rsidR="00AB0FF4" w:rsidRPr="00105FFF" w:rsidRDefault="00AB0FF4" w:rsidP="008C560E">
            <w:pPr>
              <w:spacing w:line="276" w:lineRule="auto"/>
              <w:jc w:val="both"/>
              <w:rPr>
                <w:rFonts w:ascii="Arial" w:hAnsi="Arial" w:cs="Arial"/>
                <w:sz w:val="20"/>
                <w:szCs w:val="20"/>
                <w:lang w:val="en-GB"/>
              </w:rPr>
            </w:pPr>
            <w:r w:rsidRPr="00105FFF">
              <w:rPr>
                <w:rFonts w:ascii="Arial" w:hAnsi="Arial" w:cs="Arial"/>
                <w:sz w:val="20"/>
                <w:szCs w:val="20"/>
                <w:lang w:val="en-GB"/>
              </w:rPr>
              <w:t>Sand depth 10 cm, no wind (6 replicates)</w:t>
            </w:r>
          </w:p>
          <w:p w:rsidR="00F85B44" w:rsidRPr="00105FFF" w:rsidRDefault="00AB0FF4" w:rsidP="008C560E">
            <w:pPr>
              <w:spacing w:line="276" w:lineRule="auto"/>
              <w:jc w:val="both"/>
              <w:rPr>
                <w:rFonts w:ascii="Arial" w:hAnsi="Arial" w:cs="Arial"/>
                <w:sz w:val="20"/>
                <w:szCs w:val="20"/>
                <w:lang w:val="en-GB"/>
              </w:rPr>
            </w:pPr>
            <w:r w:rsidRPr="00105FFF">
              <w:rPr>
                <w:rFonts w:ascii="Arial" w:hAnsi="Arial" w:cs="Arial"/>
                <w:sz w:val="20"/>
                <w:szCs w:val="20"/>
                <w:lang w:val="en-GB"/>
              </w:rPr>
              <w:t>Sand depth 10 cm, 1.5 m/s wind (6 replicates)</w:t>
            </w:r>
          </w:p>
        </w:tc>
        <w:tc>
          <w:tcPr>
            <w:tcW w:w="3963" w:type="dxa"/>
          </w:tcPr>
          <w:p w:rsidR="00F85B44" w:rsidRPr="00105FFF" w:rsidRDefault="00C26D29" w:rsidP="008C560E">
            <w:pPr>
              <w:spacing w:line="276" w:lineRule="auto"/>
              <w:jc w:val="both"/>
              <w:rPr>
                <w:rFonts w:ascii="Arial" w:hAnsi="Arial" w:cs="Arial"/>
                <w:sz w:val="20"/>
                <w:szCs w:val="20"/>
                <w:lang w:val="en-GB"/>
              </w:rPr>
            </w:pPr>
            <w:r w:rsidRPr="00105FFF">
              <w:rPr>
                <w:rFonts w:ascii="Arial" w:hAnsi="Arial" w:cs="Arial"/>
                <w:sz w:val="20"/>
                <w:szCs w:val="20"/>
                <w:lang w:val="en-GB"/>
              </w:rPr>
              <w:t>Sand depth 10 cm, 1.5 m/s wind, vent open, imperfect sealing (3 replicates)</w:t>
            </w:r>
          </w:p>
          <w:p w:rsidR="00C26D29" w:rsidRPr="00105FFF" w:rsidRDefault="00C26D29" w:rsidP="008C560E">
            <w:pPr>
              <w:spacing w:line="276" w:lineRule="auto"/>
              <w:jc w:val="both"/>
              <w:rPr>
                <w:rFonts w:ascii="Arial" w:hAnsi="Arial" w:cs="Arial"/>
                <w:sz w:val="20"/>
                <w:szCs w:val="20"/>
                <w:lang w:val="en-GB"/>
              </w:rPr>
            </w:pPr>
            <w:r w:rsidRPr="00105FFF">
              <w:rPr>
                <w:rFonts w:ascii="Arial" w:hAnsi="Arial" w:cs="Arial"/>
                <w:sz w:val="20"/>
                <w:szCs w:val="20"/>
                <w:lang w:val="en-GB"/>
              </w:rPr>
              <w:t>Sand depth 10 cm, 1.5 m/s wind, vent closed, imperfect sealing (3 replicates)</w:t>
            </w:r>
          </w:p>
          <w:p w:rsidR="00C26D29" w:rsidRPr="00105FFF" w:rsidRDefault="00C26D29" w:rsidP="008C560E">
            <w:pPr>
              <w:spacing w:line="276" w:lineRule="auto"/>
              <w:jc w:val="both"/>
              <w:rPr>
                <w:rFonts w:ascii="Arial" w:hAnsi="Arial" w:cs="Arial"/>
                <w:sz w:val="20"/>
                <w:szCs w:val="20"/>
                <w:lang w:val="en-GB"/>
              </w:rPr>
            </w:pPr>
            <w:r w:rsidRPr="00105FFF">
              <w:rPr>
                <w:rFonts w:ascii="Arial" w:hAnsi="Arial" w:cs="Arial"/>
                <w:sz w:val="20"/>
                <w:szCs w:val="20"/>
                <w:lang w:val="en-GB"/>
              </w:rPr>
              <w:t>Sand depth 10 cm, no wind, vent closed, imperfect sealing (3 replicates)</w:t>
            </w:r>
          </w:p>
        </w:tc>
      </w:tr>
      <w:tr w:rsidR="00F85B44" w:rsidRPr="00105FFF" w:rsidTr="00C26D29">
        <w:tc>
          <w:tcPr>
            <w:tcW w:w="1413" w:type="dxa"/>
          </w:tcPr>
          <w:p w:rsidR="00F85B44" w:rsidRPr="00105FFF" w:rsidRDefault="00C26D29" w:rsidP="008C560E">
            <w:pPr>
              <w:spacing w:line="276" w:lineRule="auto"/>
              <w:jc w:val="both"/>
              <w:rPr>
                <w:rFonts w:ascii="Arial" w:hAnsi="Arial" w:cs="Arial"/>
                <w:sz w:val="20"/>
                <w:szCs w:val="20"/>
                <w:lang w:val="en-GB"/>
              </w:rPr>
            </w:pPr>
            <w:r w:rsidRPr="00105FFF">
              <w:rPr>
                <w:rFonts w:ascii="Arial" w:hAnsi="Arial" w:cs="Arial"/>
                <w:sz w:val="20"/>
                <w:szCs w:val="20"/>
                <w:lang w:val="en-GB"/>
              </w:rPr>
              <w:t>09.07.2014</w:t>
            </w:r>
          </w:p>
        </w:tc>
        <w:tc>
          <w:tcPr>
            <w:tcW w:w="4252" w:type="dxa"/>
          </w:tcPr>
          <w:p w:rsidR="00F85B44" w:rsidRPr="00105FFF" w:rsidRDefault="00C26D29" w:rsidP="008C560E">
            <w:pPr>
              <w:spacing w:line="276" w:lineRule="auto"/>
              <w:jc w:val="both"/>
              <w:rPr>
                <w:rFonts w:ascii="Arial" w:hAnsi="Arial" w:cs="Arial"/>
                <w:sz w:val="20"/>
                <w:szCs w:val="20"/>
                <w:lang w:val="en-GB"/>
              </w:rPr>
            </w:pPr>
            <w:r w:rsidRPr="00105FFF">
              <w:rPr>
                <w:rFonts w:ascii="Arial" w:hAnsi="Arial" w:cs="Arial"/>
                <w:sz w:val="20"/>
                <w:szCs w:val="20"/>
                <w:lang w:val="en-GB"/>
              </w:rPr>
              <w:t>Preparing chamber for transport back to Belgium</w:t>
            </w:r>
          </w:p>
        </w:tc>
        <w:tc>
          <w:tcPr>
            <w:tcW w:w="3963" w:type="dxa"/>
          </w:tcPr>
          <w:p w:rsidR="00F85B44" w:rsidRPr="00105FFF" w:rsidRDefault="00F85B44" w:rsidP="008C560E">
            <w:pPr>
              <w:spacing w:line="276" w:lineRule="auto"/>
              <w:jc w:val="both"/>
              <w:rPr>
                <w:rFonts w:ascii="Arial" w:hAnsi="Arial" w:cs="Arial"/>
                <w:sz w:val="20"/>
                <w:szCs w:val="20"/>
                <w:lang w:val="en-GB"/>
              </w:rPr>
            </w:pPr>
          </w:p>
        </w:tc>
      </w:tr>
    </w:tbl>
    <w:p w:rsidR="00C62FD0" w:rsidRPr="00105FFF" w:rsidRDefault="00C62FD0" w:rsidP="008C560E">
      <w:pPr>
        <w:spacing w:line="276" w:lineRule="auto"/>
        <w:jc w:val="left"/>
        <w:rPr>
          <w:rFonts w:ascii="Arial" w:hAnsi="Arial" w:cs="Arial"/>
          <w:b/>
          <w:lang w:val="en-GB"/>
        </w:rPr>
      </w:pPr>
    </w:p>
    <w:p w:rsidR="00EA53E6" w:rsidRPr="00105FFF" w:rsidRDefault="00EA53E6" w:rsidP="008C560E">
      <w:pPr>
        <w:spacing w:line="276" w:lineRule="auto"/>
        <w:jc w:val="left"/>
        <w:rPr>
          <w:rFonts w:ascii="Arial" w:hAnsi="Arial" w:cs="Arial"/>
          <w:b/>
          <w:lang w:val="en-GB"/>
        </w:rPr>
      </w:pPr>
      <w:r w:rsidRPr="00105FFF">
        <w:rPr>
          <w:rFonts w:ascii="Arial" w:hAnsi="Arial" w:cs="Arial"/>
          <w:b/>
          <w:lang w:val="en-GB"/>
        </w:rPr>
        <w:t>Preliminary results and conclusions</w:t>
      </w:r>
    </w:p>
    <w:p w:rsidR="00B755CC" w:rsidRPr="00105FFF" w:rsidRDefault="00B755CC" w:rsidP="008C560E">
      <w:pPr>
        <w:spacing w:line="276" w:lineRule="auto"/>
        <w:jc w:val="left"/>
        <w:rPr>
          <w:rFonts w:ascii="Arial" w:hAnsi="Arial" w:cs="Arial"/>
          <w:lang w:val="en-GB"/>
        </w:rPr>
      </w:pPr>
    </w:p>
    <w:p w:rsidR="00B755CC" w:rsidRPr="00105FFF" w:rsidRDefault="00F53951" w:rsidP="008C560E">
      <w:pPr>
        <w:spacing w:line="276" w:lineRule="auto"/>
        <w:ind w:firstLine="708"/>
        <w:jc w:val="both"/>
        <w:rPr>
          <w:rFonts w:ascii="Arial" w:hAnsi="Arial" w:cs="Arial"/>
          <w:lang w:val="en-GB"/>
        </w:rPr>
      </w:pPr>
      <w:r w:rsidRPr="00105FFF">
        <w:rPr>
          <w:rFonts w:ascii="Arial" w:hAnsi="Arial" w:cs="Arial"/>
          <w:lang w:val="en-GB"/>
        </w:rPr>
        <w:t xml:space="preserve">The dataset is currently being analysed by the project leaders at the University of Helsinki. Results </w:t>
      </w:r>
      <w:r w:rsidR="00814D6A" w:rsidRPr="00105FFF">
        <w:rPr>
          <w:rFonts w:ascii="Arial" w:hAnsi="Arial" w:cs="Arial"/>
          <w:lang w:val="en-GB"/>
        </w:rPr>
        <w:t xml:space="preserve">are not available yet </w:t>
      </w:r>
      <w:r w:rsidR="009F25B5" w:rsidRPr="00105FFF">
        <w:rPr>
          <w:rFonts w:ascii="Arial" w:hAnsi="Arial" w:cs="Arial"/>
          <w:lang w:val="en-GB"/>
        </w:rPr>
        <w:t>for</w:t>
      </w:r>
      <w:r w:rsidR="00814D6A" w:rsidRPr="00105FFF">
        <w:rPr>
          <w:rFonts w:ascii="Arial" w:hAnsi="Arial" w:cs="Arial"/>
          <w:lang w:val="en-GB"/>
        </w:rPr>
        <w:t xml:space="preserve"> all participants of the campaign, but </w:t>
      </w:r>
      <w:r w:rsidR="003424A5" w:rsidRPr="00105FFF">
        <w:rPr>
          <w:rFonts w:ascii="Arial" w:hAnsi="Arial" w:cs="Arial"/>
          <w:lang w:val="en-GB"/>
        </w:rPr>
        <w:t xml:space="preserve">the available results </w:t>
      </w:r>
      <w:r w:rsidRPr="00105FFF">
        <w:rPr>
          <w:rFonts w:ascii="Arial" w:hAnsi="Arial" w:cs="Arial"/>
          <w:lang w:val="en-GB"/>
        </w:rPr>
        <w:t xml:space="preserve">will be presented </w:t>
      </w:r>
      <w:r w:rsidR="00814D6A" w:rsidRPr="00105FFF">
        <w:rPr>
          <w:rFonts w:ascii="Arial" w:hAnsi="Arial" w:cs="Arial"/>
          <w:lang w:val="en-GB"/>
        </w:rPr>
        <w:t xml:space="preserve">for the first time </w:t>
      </w:r>
      <w:r w:rsidRPr="00105FFF">
        <w:rPr>
          <w:rFonts w:ascii="Arial" w:hAnsi="Arial" w:cs="Arial"/>
          <w:lang w:val="en-GB"/>
        </w:rPr>
        <w:t>at a plenary session at the InGOS project meeting in Florence, Italy, on October 15</w:t>
      </w:r>
      <w:r w:rsidRPr="00105FFF">
        <w:rPr>
          <w:rFonts w:ascii="Arial" w:hAnsi="Arial" w:cs="Arial"/>
          <w:vertAlign w:val="superscript"/>
          <w:lang w:val="en-GB"/>
        </w:rPr>
        <w:t>th</w:t>
      </w:r>
      <w:r w:rsidRPr="00105FFF">
        <w:rPr>
          <w:rFonts w:ascii="Arial" w:hAnsi="Arial" w:cs="Arial"/>
          <w:lang w:val="en-GB"/>
        </w:rPr>
        <w:t xml:space="preserve">. Preliminary results for the applicant’s </w:t>
      </w:r>
      <w:r w:rsidR="003424A5" w:rsidRPr="00105FFF">
        <w:rPr>
          <w:rFonts w:ascii="Arial" w:hAnsi="Arial" w:cs="Arial"/>
          <w:lang w:val="en-GB"/>
        </w:rPr>
        <w:t xml:space="preserve">AGPS </w:t>
      </w:r>
      <w:r w:rsidRPr="00105FFF">
        <w:rPr>
          <w:rFonts w:ascii="Arial" w:hAnsi="Arial" w:cs="Arial"/>
          <w:lang w:val="en-GB"/>
        </w:rPr>
        <w:t>chamber show an underestimation of the N</w:t>
      </w:r>
      <w:r w:rsidRPr="00105FFF">
        <w:rPr>
          <w:rFonts w:ascii="Arial" w:hAnsi="Arial" w:cs="Arial"/>
          <w:vertAlign w:val="subscript"/>
          <w:lang w:val="en-GB"/>
        </w:rPr>
        <w:t>2</w:t>
      </w:r>
      <w:r w:rsidRPr="00105FFF">
        <w:rPr>
          <w:rFonts w:ascii="Arial" w:hAnsi="Arial" w:cs="Arial"/>
          <w:lang w:val="en-GB"/>
        </w:rPr>
        <w:t xml:space="preserve">O flux when calculated using linear regression, and a slight overestimation when applying an exponential flux calculation. </w:t>
      </w:r>
      <w:r w:rsidR="004E2670" w:rsidRPr="00105FFF">
        <w:rPr>
          <w:rFonts w:ascii="Arial" w:hAnsi="Arial" w:cs="Arial"/>
          <w:lang w:val="en-GB"/>
        </w:rPr>
        <w:t xml:space="preserve">However, these preliminary results present only an average of all chamber measurements and do </w:t>
      </w:r>
      <w:r w:rsidR="003424A5" w:rsidRPr="00105FFF">
        <w:rPr>
          <w:rFonts w:ascii="Arial" w:hAnsi="Arial" w:cs="Arial"/>
          <w:lang w:val="en-GB"/>
        </w:rPr>
        <w:t xml:space="preserve">not </w:t>
      </w:r>
      <w:r w:rsidR="004E2670" w:rsidRPr="00105FFF">
        <w:rPr>
          <w:rFonts w:ascii="Arial" w:hAnsi="Arial" w:cs="Arial"/>
          <w:lang w:val="en-GB"/>
        </w:rPr>
        <w:t>distinguish yet between different sand bed depths and wind conditions.</w:t>
      </w:r>
    </w:p>
    <w:p w:rsidR="00B755CC" w:rsidRPr="00105FFF" w:rsidRDefault="00B755CC" w:rsidP="008C560E">
      <w:pPr>
        <w:spacing w:line="276" w:lineRule="auto"/>
        <w:jc w:val="left"/>
        <w:rPr>
          <w:rFonts w:ascii="Arial" w:hAnsi="Arial" w:cs="Arial"/>
          <w:lang w:val="en-GB"/>
        </w:rPr>
      </w:pPr>
    </w:p>
    <w:p w:rsidR="00EA53E6" w:rsidRPr="00105FFF" w:rsidRDefault="00EA53E6" w:rsidP="008C560E">
      <w:pPr>
        <w:spacing w:line="276" w:lineRule="auto"/>
        <w:jc w:val="left"/>
        <w:rPr>
          <w:rFonts w:ascii="Arial" w:hAnsi="Arial" w:cs="Arial"/>
          <w:b/>
          <w:lang w:val="en-GB"/>
        </w:rPr>
      </w:pPr>
      <w:r w:rsidRPr="00105FFF">
        <w:rPr>
          <w:rFonts w:ascii="Arial" w:hAnsi="Arial" w:cs="Arial"/>
          <w:b/>
          <w:lang w:val="en-GB"/>
        </w:rPr>
        <w:t>Outcome and future studies</w:t>
      </w:r>
    </w:p>
    <w:p w:rsidR="00B755CC" w:rsidRPr="00105FFF" w:rsidRDefault="00B755CC" w:rsidP="008C560E">
      <w:pPr>
        <w:spacing w:line="276" w:lineRule="auto"/>
        <w:jc w:val="left"/>
        <w:rPr>
          <w:rFonts w:ascii="Arial" w:hAnsi="Arial" w:cs="Arial"/>
          <w:lang w:val="en-GB"/>
        </w:rPr>
      </w:pPr>
    </w:p>
    <w:p w:rsidR="004E2670" w:rsidRPr="00105FFF" w:rsidRDefault="004219C5" w:rsidP="008C560E">
      <w:pPr>
        <w:spacing w:line="276" w:lineRule="auto"/>
        <w:jc w:val="both"/>
        <w:rPr>
          <w:rFonts w:ascii="Arial" w:hAnsi="Arial" w:cs="Arial"/>
          <w:lang w:val="en-GB"/>
        </w:rPr>
      </w:pPr>
      <w:r w:rsidRPr="00105FFF">
        <w:rPr>
          <w:rFonts w:ascii="Arial" w:hAnsi="Arial" w:cs="Arial"/>
          <w:lang w:val="en-GB"/>
        </w:rPr>
        <w:t>In the fu</w:t>
      </w:r>
      <w:r w:rsidR="004E2670" w:rsidRPr="00105FFF">
        <w:rPr>
          <w:rFonts w:ascii="Arial" w:hAnsi="Arial" w:cs="Arial"/>
          <w:lang w:val="en-GB"/>
        </w:rPr>
        <w:t>ture, a workshop will be</w:t>
      </w:r>
      <w:r w:rsidR="00DD7D76" w:rsidRPr="00105FFF">
        <w:rPr>
          <w:rFonts w:ascii="Arial" w:hAnsi="Arial" w:cs="Arial"/>
          <w:lang w:val="en-GB"/>
        </w:rPr>
        <w:t xml:space="preserve"> organized at which the results</w:t>
      </w:r>
      <w:r w:rsidR="004E2670" w:rsidRPr="00105FFF">
        <w:rPr>
          <w:rFonts w:ascii="Arial" w:hAnsi="Arial" w:cs="Arial"/>
          <w:lang w:val="en-GB"/>
        </w:rPr>
        <w:t xml:space="preserve"> </w:t>
      </w:r>
      <w:r w:rsidR="00DD7D76" w:rsidRPr="00105FFF">
        <w:rPr>
          <w:rFonts w:ascii="Arial" w:hAnsi="Arial" w:cs="Arial"/>
          <w:lang w:val="en-GB"/>
        </w:rPr>
        <w:t>of the soil N</w:t>
      </w:r>
      <w:r w:rsidR="00DD7D76" w:rsidRPr="00105FFF">
        <w:rPr>
          <w:rFonts w:ascii="Arial" w:hAnsi="Arial" w:cs="Arial"/>
          <w:vertAlign w:val="subscript"/>
          <w:lang w:val="en-GB"/>
        </w:rPr>
        <w:t>2</w:t>
      </w:r>
      <w:r w:rsidR="00DD7D76" w:rsidRPr="00105FFF">
        <w:rPr>
          <w:rFonts w:ascii="Arial" w:hAnsi="Arial" w:cs="Arial"/>
          <w:lang w:val="en-GB"/>
        </w:rPr>
        <w:t xml:space="preserve">O chamber inter-comparison campaign </w:t>
      </w:r>
      <w:r w:rsidR="004E2670" w:rsidRPr="00105FFF">
        <w:rPr>
          <w:rFonts w:ascii="Arial" w:hAnsi="Arial" w:cs="Arial"/>
          <w:lang w:val="en-GB"/>
        </w:rPr>
        <w:t>will be presented to all participants. The organizers of the inter-comparison campaign expect to publish peer-reviewed publications based on the campaign – as has been done for the CO</w:t>
      </w:r>
      <w:r w:rsidR="004E2670" w:rsidRPr="00105FFF">
        <w:rPr>
          <w:rFonts w:ascii="Arial" w:hAnsi="Arial" w:cs="Arial"/>
          <w:vertAlign w:val="subscript"/>
          <w:lang w:val="en-GB"/>
        </w:rPr>
        <w:t>2</w:t>
      </w:r>
      <w:r w:rsidR="004E2670" w:rsidRPr="00105FFF">
        <w:rPr>
          <w:rFonts w:ascii="Arial" w:hAnsi="Arial" w:cs="Arial"/>
          <w:lang w:val="en-GB"/>
        </w:rPr>
        <w:t xml:space="preserve"> and CH</w:t>
      </w:r>
      <w:r w:rsidR="004E2670" w:rsidRPr="00105FFF">
        <w:rPr>
          <w:rFonts w:ascii="Arial" w:hAnsi="Arial" w:cs="Arial"/>
          <w:vertAlign w:val="subscript"/>
          <w:lang w:val="en-GB"/>
        </w:rPr>
        <w:t>4</w:t>
      </w:r>
      <w:r w:rsidR="004E2670" w:rsidRPr="00105FFF">
        <w:rPr>
          <w:rFonts w:ascii="Arial" w:hAnsi="Arial" w:cs="Arial"/>
          <w:lang w:val="en-GB"/>
        </w:rPr>
        <w:t xml:space="preserve"> inter-comparison campaigns - and all the participants are invited to participate as (co)authors.</w:t>
      </w:r>
      <w:r w:rsidR="00DD7D76" w:rsidRPr="00105FFF">
        <w:rPr>
          <w:rFonts w:ascii="Arial" w:hAnsi="Arial" w:cs="Arial"/>
          <w:lang w:val="en-GB"/>
        </w:rPr>
        <w:t xml:space="preserve"> The results will also be submitted to the InGOS database of specific measurements. The applicant will use the specific results for her chamber for the analysis of </w:t>
      </w:r>
      <w:r w:rsidR="009B5437" w:rsidRPr="00105FFF">
        <w:rPr>
          <w:rFonts w:ascii="Arial" w:hAnsi="Arial" w:cs="Arial"/>
          <w:lang w:val="en-GB"/>
        </w:rPr>
        <w:t>her</w:t>
      </w:r>
      <w:r w:rsidR="00DD7D76" w:rsidRPr="00105FFF">
        <w:rPr>
          <w:rFonts w:ascii="Arial" w:hAnsi="Arial" w:cs="Arial"/>
          <w:lang w:val="en-GB"/>
        </w:rPr>
        <w:t xml:space="preserve"> field inter-comparison between the AGPS and the Licor chambers</w:t>
      </w:r>
      <w:r w:rsidR="00616530">
        <w:rPr>
          <w:rFonts w:ascii="Arial" w:hAnsi="Arial" w:cs="Arial"/>
          <w:lang w:val="en-GB"/>
        </w:rPr>
        <w:t>. The field comparison was finished</w:t>
      </w:r>
      <w:bookmarkStart w:id="0" w:name="_GoBack"/>
      <w:bookmarkEnd w:id="0"/>
      <w:r w:rsidR="00DD7D76" w:rsidRPr="00105FFF">
        <w:rPr>
          <w:rFonts w:ascii="Arial" w:hAnsi="Arial" w:cs="Arial"/>
          <w:lang w:val="en-GB"/>
        </w:rPr>
        <w:t xml:space="preserve"> beginning of September and </w:t>
      </w:r>
      <w:r w:rsidR="00036678" w:rsidRPr="00105FFF">
        <w:rPr>
          <w:rFonts w:ascii="Arial" w:hAnsi="Arial" w:cs="Arial"/>
          <w:lang w:val="en-GB"/>
        </w:rPr>
        <w:t>is going to</w:t>
      </w:r>
      <w:r w:rsidR="00DD7D76" w:rsidRPr="00105FFF">
        <w:rPr>
          <w:rFonts w:ascii="Arial" w:hAnsi="Arial" w:cs="Arial"/>
          <w:lang w:val="en-GB"/>
        </w:rPr>
        <w:t xml:space="preserve"> result in one peer-reviewed publication.</w:t>
      </w:r>
    </w:p>
    <w:p w:rsidR="00B755CC" w:rsidRPr="00105FFF" w:rsidRDefault="004E2670" w:rsidP="008C560E">
      <w:pPr>
        <w:spacing w:line="276" w:lineRule="auto"/>
        <w:jc w:val="left"/>
        <w:rPr>
          <w:rFonts w:ascii="Arial" w:hAnsi="Arial" w:cs="Arial"/>
          <w:lang w:val="en-GB"/>
        </w:rPr>
      </w:pPr>
      <w:r w:rsidRPr="00105FFF">
        <w:rPr>
          <w:rFonts w:ascii="Arial" w:hAnsi="Arial" w:cs="Arial"/>
          <w:lang w:val="en-GB"/>
        </w:rPr>
        <w:t xml:space="preserve"> </w:t>
      </w:r>
    </w:p>
    <w:p w:rsidR="00EA53E6" w:rsidRPr="00105FFF" w:rsidRDefault="00EA53E6" w:rsidP="008C560E">
      <w:pPr>
        <w:spacing w:line="276" w:lineRule="auto"/>
        <w:jc w:val="left"/>
        <w:rPr>
          <w:rFonts w:ascii="Arial" w:hAnsi="Arial" w:cs="Arial"/>
          <w:b/>
          <w:lang w:val="en-GB"/>
        </w:rPr>
      </w:pPr>
      <w:r w:rsidRPr="00105FFF">
        <w:rPr>
          <w:rFonts w:ascii="Arial" w:hAnsi="Arial" w:cs="Arial"/>
          <w:b/>
          <w:lang w:val="en-GB"/>
        </w:rPr>
        <w:t>References</w:t>
      </w:r>
    </w:p>
    <w:p w:rsidR="00EA53E6" w:rsidRPr="00105FFF" w:rsidRDefault="00EA53E6" w:rsidP="008C560E">
      <w:pPr>
        <w:spacing w:line="276" w:lineRule="auto"/>
        <w:jc w:val="left"/>
        <w:rPr>
          <w:i/>
          <w:lang w:val="en-GB"/>
        </w:rPr>
      </w:pPr>
    </w:p>
    <w:p w:rsidR="009B5437" w:rsidRPr="00105FFF" w:rsidRDefault="009B5437" w:rsidP="008C560E">
      <w:pPr>
        <w:spacing w:line="276" w:lineRule="auto"/>
        <w:ind w:left="567" w:hanging="567"/>
        <w:jc w:val="both"/>
        <w:rPr>
          <w:rFonts w:ascii="Arial" w:hAnsi="Arial" w:cs="Arial"/>
          <w:lang w:val="en-GB"/>
        </w:rPr>
      </w:pPr>
      <w:r w:rsidRPr="00105FFF">
        <w:rPr>
          <w:rFonts w:ascii="Arial" w:hAnsi="Arial" w:cs="Arial"/>
          <w:lang w:val="en-GB"/>
        </w:rPr>
        <w:t xml:space="preserve">Christiansen JR, Korhonen JFJ, Juszczak R, Giebels M, Pihlatie M (2011): Assessing the effects of chamber placement, manual sampling and headspace mixing on CH4 fluxes in a laboratory experiment. Plant and Soil 343: 171-185. </w:t>
      </w:r>
    </w:p>
    <w:p w:rsidR="009B5437" w:rsidRPr="00105FFF" w:rsidRDefault="009B5437" w:rsidP="008C560E">
      <w:pPr>
        <w:spacing w:line="276" w:lineRule="auto"/>
        <w:ind w:left="567" w:hanging="567"/>
        <w:jc w:val="both"/>
        <w:rPr>
          <w:rFonts w:ascii="Arial" w:hAnsi="Arial" w:cs="Arial"/>
          <w:lang w:val="en-GB"/>
        </w:rPr>
      </w:pPr>
      <w:r w:rsidRPr="00105FFF">
        <w:rPr>
          <w:rFonts w:ascii="Arial" w:hAnsi="Arial" w:cs="Arial"/>
          <w:lang w:val="en-GB"/>
        </w:rPr>
        <w:t>Görres C-M, Kutzbach L, Elsgaard L (2014): Comparative modeling of annual CO2 flux of temperate peat soils under permanent grassland management. Agriculture, Ecosystems and Environment 186: 64-76.</w:t>
      </w:r>
    </w:p>
    <w:p w:rsidR="009B5437" w:rsidRPr="00105FFF" w:rsidRDefault="009B5437" w:rsidP="008C560E">
      <w:pPr>
        <w:spacing w:line="276" w:lineRule="auto"/>
        <w:ind w:left="567" w:hanging="567"/>
        <w:jc w:val="both"/>
        <w:rPr>
          <w:rFonts w:ascii="Arial" w:hAnsi="Arial" w:cs="Arial"/>
          <w:lang w:val="en-GB"/>
        </w:rPr>
      </w:pPr>
      <w:r w:rsidRPr="00105FFF">
        <w:rPr>
          <w:rFonts w:ascii="Arial" w:hAnsi="Arial" w:cs="Arial"/>
          <w:lang w:val="en-GB"/>
        </w:rPr>
        <w:t>Pihlatie M K, Christiansen J R, Aaltonen H, Korhonen JFJ, Nordbo A, Rasilo T, Benanti G, Giebels M, Helmy M, Sheehy J, Jones S, Juszczak R, Klefoth R, Lobo-do-Vale R, Rosa AP, Schreiber P, Serca D, Vicca S, Wolf B, Pumpanen J (2013): Comparison of static chambers to measure CH4 emissions from soils. Agricultural and Forest Meteorology 171: 124-136.</w:t>
      </w:r>
    </w:p>
    <w:p w:rsidR="009B5437" w:rsidRPr="00105FFF" w:rsidRDefault="009B5437" w:rsidP="008C560E">
      <w:pPr>
        <w:spacing w:line="276" w:lineRule="auto"/>
        <w:ind w:left="567" w:hanging="567"/>
        <w:jc w:val="both"/>
        <w:rPr>
          <w:rFonts w:ascii="Arial" w:hAnsi="Arial" w:cs="Arial"/>
          <w:lang w:val="en-GB"/>
        </w:rPr>
      </w:pPr>
      <w:r w:rsidRPr="00105FFF">
        <w:rPr>
          <w:rFonts w:ascii="Arial" w:hAnsi="Arial" w:cs="Arial"/>
          <w:lang w:val="en-GB"/>
        </w:rPr>
        <w:t>Pumpanen J, Kolari P, Ilvesniemi H, Minkkinen K, Vesala T, Niinisto S, Lohila A, Larmola T, Morero M, Pihlatie M, Janssens I, Yuste JC, Grunzweig JM, Reth S, Subke JA, Savage K, Kutsch W, Ostreng G, Ziegler W, Anthoni P, Lindroth A, Hari P (2004): Comparison of different chamber techniques for measuring soil CO2 efflux. Agricultural and Forest Meteorology 123: 159-176.</w:t>
      </w:r>
    </w:p>
    <w:p w:rsidR="00EA53E6" w:rsidRPr="00105FFF" w:rsidRDefault="009B5437" w:rsidP="008C560E">
      <w:pPr>
        <w:spacing w:line="276" w:lineRule="auto"/>
        <w:ind w:left="567" w:hanging="567"/>
        <w:jc w:val="both"/>
        <w:rPr>
          <w:rFonts w:ascii="Arial" w:hAnsi="Arial" w:cs="Arial"/>
          <w:lang w:val="en-GB"/>
        </w:rPr>
      </w:pPr>
      <w:r w:rsidRPr="00105FFF">
        <w:rPr>
          <w:rFonts w:ascii="Arial" w:hAnsi="Arial" w:cs="Arial"/>
          <w:lang w:val="en-GB"/>
        </w:rPr>
        <w:t>Wang K, Zheng X, Pihlatie M, Vesala T, Liu C, Haapanala S, Mammarella I, Rannik Ü, Liu H (2013): Comparison between static chamber and tunable diode laser-based eddy covariance techniques for measuring nitrous oxide fluxes from a cotton field. Agricultural and Forest Meteorology 171-172: 9-19.</w:t>
      </w:r>
    </w:p>
    <w:sectPr w:rsidR="00EA53E6" w:rsidRPr="00105FFF" w:rsidSect="00C617CE">
      <w:footerReference w:type="default" r:id="rId9"/>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DC" w:rsidRDefault="00AB14DC" w:rsidP="006C6BDE">
      <w:r>
        <w:separator/>
      </w:r>
    </w:p>
  </w:endnote>
  <w:endnote w:type="continuationSeparator" w:id="0">
    <w:p w:rsidR="00AB14DC" w:rsidRDefault="00AB14DC" w:rsidP="006C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3084"/>
      <w:docPartObj>
        <w:docPartGallery w:val="Page Numbers (Bottom of Page)"/>
        <w:docPartUnique/>
      </w:docPartObj>
    </w:sdtPr>
    <w:sdtEndPr/>
    <w:sdtContent>
      <w:p w:rsidR="006C6BDE" w:rsidRDefault="002F0EA5">
        <w:pPr>
          <w:pStyle w:val="Fuzeile"/>
          <w:jc w:val="right"/>
        </w:pPr>
        <w:r w:rsidRPr="006C6BDE">
          <w:rPr>
            <w:sz w:val="20"/>
            <w:szCs w:val="20"/>
          </w:rPr>
          <w:fldChar w:fldCharType="begin"/>
        </w:r>
        <w:r w:rsidR="006C6BDE" w:rsidRPr="006C6BDE">
          <w:rPr>
            <w:sz w:val="20"/>
            <w:szCs w:val="20"/>
          </w:rPr>
          <w:instrText xml:space="preserve"> PAGE   \* MERGEFORMAT </w:instrText>
        </w:r>
        <w:r w:rsidRPr="006C6BDE">
          <w:rPr>
            <w:sz w:val="20"/>
            <w:szCs w:val="20"/>
          </w:rPr>
          <w:fldChar w:fldCharType="separate"/>
        </w:r>
        <w:r w:rsidR="00616530">
          <w:rPr>
            <w:noProof/>
            <w:sz w:val="20"/>
            <w:szCs w:val="20"/>
          </w:rPr>
          <w:t>2</w:t>
        </w:r>
        <w:r w:rsidRPr="006C6BDE">
          <w:rPr>
            <w:sz w:val="20"/>
            <w:szCs w:val="20"/>
          </w:rPr>
          <w:fldChar w:fldCharType="end"/>
        </w:r>
      </w:p>
    </w:sdtContent>
  </w:sdt>
  <w:p w:rsidR="006C6BDE" w:rsidRDefault="006C6B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DC" w:rsidRDefault="00AB14DC" w:rsidP="006C6BDE">
      <w:r>
        <w:separator/>
      </w:r>
    </w:p>
  </w:footnote>
  <w:footnote w:type="continuationSeparator" w:id="0">
    <w:p w:rsidR="00AB14DC" w:rsidRDefault="00AB14DC" w:rsidP="006C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E7D92"/>
    <w:multiLevelType w:val="hybridMultilevel"/>
    <w:tmpl w:val="4A32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6"/>
    <w:rsid w:val="00036678"/>
    <w:rsid w:val="00053A73"/>
    <w:rsid w:val="00060B1B"/>
    <w:rsid w:val="00072042"/>
    <w:rsid w:val="000860E7"/>
    <w:rsid w:val="000A0F03"/>
    <w:rsid w:val="000B0F2D"/>
    <w:rsid w:val="000B3821"/>
    <w:rsid w:val="00105FFF"/>
    <w:rsid w:val="001450C8"/>
    <w:rsid w:val="0017687D"/>
    <w:rsid w:val="00182188"/>
    <w:rsid w:val="00207A1D"/>
    <w:rsid w:val="00233E71"/>
    <w:rsid w:val="002435F9"/>
    <w:rsid w:val="002C586A"/>
    <w:rsid w:val="002F0EA5"/>
    <w:rsid w:val="003424A5"/>
    <w:rsid w:val="0036665D"/>
    <w:rsid w:val="003849D7"/>
    <w:rsid w:val="003B5595"/>
    <w:rsid w:val="003E091A"/>
    <w:rsid w:val="004219C5"/>
    <w:rsid w:val="0046738D"/>
    <w:rsid w:val="004D4950"/>
    <w:rsid w:val="004E2670"/>
    <w:rsid w:val="005A6A51"/>
    <w:rsid w:val="00616530"/>
    <w:rsid w:val="006221F6"/>
    <w:rsid w:val="006339E8"/>
    <w:rsid w:val="00641EBA"/>
    <w:rsid w:val="00647ED0"/>
    <w:rsid w:val="006C6BDE"/>
    <w:rsid w:val="0072243F"/>
    <w:rsid w:val="00742C40"/>
    <w:rsid w:val="007639D1"/>
    <w:rsid w:val="007813FD"/>
    <w:rsid w:val="007B0FCB"/>
    <w:rsid w:val="007D29E3"/>
    <w:rsid w:val="00814D6A"/>
    <w:rsid w:val="00815566"/>
    <w:rsid w:val="00846BA2"/>
    <w:rsid w:val="008A0288"/>
    <w:rsid w:val="008A0EF2"/>
    <w:rsid w:val="008C560E"/>
    <w:rsid w:val="008D5A2F"/>
    <w:rsid w:val="008E5632"/>
    <w:rsid w:val="00926010"/>
    <w:rsid w:val="00933964"/>
    <w:rsid w:val="009517C3"/>
    <w:rsid w:val="00955867"/>
    <w:rsid w:val="009B5437"/>
    <w:rsid w:val="009F25B5"/>
    <w:rsid w:val="00A25C6D"/>
    <w:rsid w:val="00A533A8"/>
    <w:rsid w:val="00A77CCD"/>
    <w:rsid w:val="00A8084F"/>
    <w:rsid w:val="00AB0FF4"/>
    <w:rsid w:val="00AB14DC"/>
    <w:rsid w:val="00AE7A1F"/>
    <w:rsid w:val="00B24E4E"/>
    <w:rsid w:val="00B42139"/>
    <w:rsid w:val="00B529FE"/>
    <w:rsid w:val="00B755CC"/>
    <w:rsid w:val="00BB71F1"/>
    <w:rsid w:val="00BC371A"/>
    <w:rsid w:val="00C26D29"/>
    <w:rsid w:val="00C617CE"/>
    <w:rsid w:val="00C62FD0"/>
    <w:rsid w:val="00CF039A"/>
    <w:rsid w:val="00D41E7A"/>
    <w:rsid w:val="00DA3876"/>
    <w:rsid w:val="00DD7D76"/>
    <w:rsid w:val="00DE297D"/>
    <w:rsid w:val="00DE6993"/>
    <w:rsid w:val="00E11DC8"/>
    <w:rsid w:val="00E93E16"/>
    <w:rsid w:val="00EA53E6"/>
    <w:rsid w:val="00EF2603"/>
    <w:rsid w:val="00F53951"/>
    <w:rsid w:val="00F82527"/>
    <w:rsid w:val="00F83075"/>
    <w:rsid w:val="00F85B44"/>
    <w:rsid w:val="00F9233A"/>
    <w:rsid w:val="00F9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802F0-3348-42FA-879D-AC2730F1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30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86A"/>
    <w:pPr>
      <w:ind w:left="720"/>
      <w:contextualSpacing/>
    </w:pPr>
  </w:style>
  <w:style w:type="paragraph" w:styleId="Sprechblasentext">
    <w:name w:val="Balloon Text"/>
    <w:basedOn w:val="Standard"/>
    <w:link w:val="SprechblasentextZchn"/>
    <w:uiPriority w:val="99"/>
    <w:semiHidden/>
    <w:unhideWhenUsed/>
    <w:rsid w:val="002C5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86A"/>
    <w:rPr>
      <w:rFonts w:ascii="Tahoma" w:hAnsi="Tahoma" w:cs="Tahoma"/>
      <w:sz w:val="16"/>
      <w:szCs w:val="16"/>
    </w:rPr>
  </w:style>
  <w:style w:type="paragraph" w:styleId="Kopfzeile">
    <w:name w:val="header"/>
    <w:basedOn w:val="Standard"/>
    <w:link w:val="KopfzeileZchn"/>
    <w:uiPriority w:val="99"/>
    <w:semiHidden/>
    <w:unhideWhenUsed/>
    <w:rsid w:val="006C6BDE"/>
    <w:pPr>
      <w:tabs>
        <w:tab w:val="center" w:pos="4536"/>
        <w:tab w:val="right" w:pos="9072"/>
      </w:tabs>
    </w:pPr>
  </w:style>
  <w:style w:type="character" w:customStyle="1" w:styleId="KopfzeileZchn">
    <w:name w:val="Kopfzeile Zchn"/>
    <w:basedOn w:val="Absatz-Standardschriftart"/>
    <w:link w:val="Kopfzeile"/>
    <w:uiPriority w:val="99"/>
    <w:semiHidden/>
    <w:rsid w:val="006C6BDE"/>
  </w:style>
  <w:style w:type="paragraph" w:styleId="Fuzeile">
    <w:name w:val="footer"/>
    <w:basedOn w:val="Standard"/>
    <w:link w:val="FuzeileZchn"/>
    <w:uiPriority w:val="99"/>
    <w:unhideWhenUsed/>
    <w:rsid w:val="006C6BDE"/>
    <w:pPr>
      <w:tabs>
        <w:tab w:val="center" w:pos="4536"/>
        <w:tab w:val="right" w:pos="9072"/>
      </w:tabs>
    </w:pPr>
  </w:style>
  <w:style w:type="character" w:customStyle="1" w:styleId="FuzeileZchn">
    <w:name w:val="Fußzeile Zchn"/>
    <w:basedOn w:val="Absatz-Standardschriftart"/>
    <w:link w:val="Fuzeile"/>
    <w:uiPriority w:val="99"/>
    <w:rsid w:val="006C6BDE"/>
  </w:style>
  <w:style w:type="paragraph" w:customStyle="1" w:styleId="Default">
    <w:name w:val="Default"/>
    <w:rsid w:val="006339E8"/>
    <w:pPr>
      <w:autoSpaceDE w:val="0"/>
      <w:autoSpaceDN w:val="0"/>
      <w:adjustRightInd w:val="0"/>
      <w:jc w:val="left"/>
    </w:pPr>
    <w:rPr>
      <w:rFonts w:ascii="Calibri" w:eastAsia="Times New Roman" w:hAnsi="Calibri" w:cs="Calibri"/>
      <w:color w:val="000000"/>
      <w:sz w:val="24"/>
      <w:szCs w:val="24"/>
      <w:lang w:val="en-US"/>
    </w:rPr>
  </w:style>
  <w:style w:type="table" w:styleId="Tabellenraster">
    <w:name w:val="Table Grid"/>
    <w:basedOn w:val="NormaleTabelle"/>
    <w:uiPriority w:val="59"/>
    <w:rsid w:val="00F8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05C3-AB97-406C-AEFA-E35ADF26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8859</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lamp</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Berthet</dc:creator>
  <cp:lastModifiedBy>Carolyn Görres</cp:lastModifiedBy>
  <cp:revision>70</cp:revision>
  <dcterms:created xsi:type="dcterms:W3CDTF">2014-10-10T17:41:00Z</dcterms:created>
  <dcterms:modified xsi:type="dcterms:W3CDTF">2014-10-11T16:58:00Z</dcterms:modified>
</cp:coreProperties>
</file>